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8053"/>
      </w:tblGrid>
      <w:tr w:rsidR="00144026" w:rsidRPr="0031440A" w14:paraId="0F499930" w14:textId="77777777" w:rsidTr="00725A6F">
        <w:trPr>
          <w:trHeight w:val="14031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3964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2"/>
            </w:tblGrid>
            <w:tr w:rsidR="00144026" w:rsidRPr="0031440A" w14:paraId="0C468455" w14:textId="77777777" w:rsidTr="00725A6F">
              <w:trPr>
                <w:trHeight w:val="23"/>
                <w:jc w:val="center"/>
              </w:trPr>
              <w:tc>
                <w:tcPr>
                  <w:tcW w:w="2951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267C5E9D" w14:textId="0F045961" w:rsidR="00144026" w:rsidRPr="0031440A" w:rsidRDefault="00BF5DE7" w:rsidP="009E2827">
                  <w:pPr>
                    <w:pStyle w:val="Subtitle"/>
                    <w:rPr>
                      <w:rFonts w:ascii="Lucida Bright" w:hAnsi="Lucida Bright" w:cs="Arial"/>
                      <w:color w:val="86CDB6" w:themeColor="accent3"/>
                      <w:sz w:val="44"/>
                      <w:szCs w:val="44"/>
                    </w:rPr>
                  </w:pPr>
                  <w:r>
                    <w:rPr>
                      <w:rFonts w:ascii="Lucida Bright" w:hAnsi="Lucida Bright" w:cs="Arial"/>
                      <w:color w:val="86CDB6" w:themeColor="accent3"/>
                      <w:sz w:val="44"/>
                      <w:szCs w:val="44"/>
                    </w:rPr>
                    <w:t>0</w:t>
                  </w:r>
                  <w:r w:rsidR="00EE3EC4">
                    <w:rPr>
                      <w:rFonts w:ascii="Lucida Bright" w:hAnsi="Lucida Bright" w:cs="Arial"/>
                      <w:color w:val="86CDB6" w:themeColor="accent3"/>
                      <w:sz w:val="44"/>
                      <w:szCs w:val="44"/>
                    </w:rPr>
                    <w:t>6</w:t>
                  </w:r>
                  <w:r>
                    <w:rPr>
                      <w:rFonts w:ascii="Lucida Bright" w:hAnsi="Lucida Bright" w:cs="Arial"/>
                      <w:color w:val="86CDB6" w:themeColor="accent3"/>
                      <w:sz w:val="44"/>
                      <w:szCs w:val="44"/>
                    </w:rPr>
                    <w:t>/</w:t>
                  </w:r>
                  <w:r w:rsidR="00EE3EC4">
                    <w:rPr>
                      <w:rFonts w:ascii="Lucida Bright" w:hAnsi="Lucida Bright" w:cs="Arial"/>
                      <w:color w:val="86CDB6" w:themeColor="accent3"/>
                      <w:sz w:val="44"/>
                      <w:szCs w:val="44"/>
                    </w:rPr>
                    <w:t>30</w:t>
                  </w:r>
                  <w:r>
                    <w:rPr>
                      <w:rFonts w:ascii="Lucida Bright" w:hAnsi="Lucida Bright" w:cs="Arial"/>
                      <w:color w:val="86CDB6" w:themeColor="accent3"/>
                      <w:sz w:val="44"/>
                      <w:szCs w:val="44"/>
                    </w:rPr>
                    <w:t>/2</w:t>
                  </w:r>
                  <w:r w:rsidR="006559E4">
                    <w:rPr>
                      <w:rFonts w:ascii="Lucida Bright" w:hAnsi="Lucida Bright" w:cs="Arial"/>
                      <w:color w:val="86CDB6" w:themeColor="accent3"/>
                      <w:sz w:val="44"/>
                      <w:szCs w:val="44"/>
                    </w:rPr>
                    <w:t>5</w:t>
                  </w:r>
                </w:p>
              </w:tc>
            </w:tr>
            <w:tr w:rsidR="00144026" w:rsidRPr="0031440A" w14:paraId="668DC277" w14:textId="77777777" w:rsidTr="00725A6F">
              <w:trPr>
                <w:trHeight w:val="23"/>
                <w:jc w:val="center"/>
              </w:trPr>
              <w:tc>
                <w:tcPr>
                  <w:tcW w:w="2951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084F5573" w14:textId="77777777" w:rsidR="00144026" w:rsidRPr="0031440A" w:rsidRDefault="00144026" w:rsidP="009E2827">
                  <w:pPr>
                    <w:pStyle w:val="Subtitle"/>
                    <w:rPr>
                      <w:rFonts w:ascii="Lucida Bright" w:hAnsi="Lucida Bright" w:cs="Arial"/>
                      <w:noProof/>
                      <w:color w:val="86CDB6" w:themeColor="accent3"/>
                      <w:sz w:val="44"/>
                      <w:szCs w:val="44"/>
                    </w:rPr>
                  </w:pPr>
                  <w:r w:rsidRPr="0031440A">
                    <w:rPr>
                      <w:rFonts w:ascii="Lucida Bright" w:hAnsi="Lucida Bright" w:cs="Arial"/>
                      <w:noProof/>
                      <w:sz w:val="44"/>
                      <w:szCs w:val="44"/>
                    </w:rPr>
                    <w:t>Table of Contents</w:t>
                  </w:r>
                </w:p>
              </w:tc>
            </w:tr>
            <w:tr w:rsidR="00144026" w:rsidRPr="0031440A" w14:paraId="77436678" w14:textId="77777777" w:rsidTr="00725A6F">
              <w:trPr>
                <w:trHeight w:val="63"/>
                <w:jc w:val="center"/>
              </w:trPr>
              <w:tc>
                <w:tcPr>
                  <w:tcW w:w="295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676A3714" w14:textId="495E0FF7" w:rsidR="00144026" w:rsidRPr="0031440A" w:rsidRDefault="00144026" w:rsidP="009E2827">
                  <w:pPr>
                    <w:pStyle w:val="BlockText"/>
                    <w:rPr>
                      <w:rFonts w:ascii="Lucida Bright" w:hAnsi="Lucida Bright" w:cs="Arial"/>
                      <w:sz w:val="22"/>
                      <w:szCs w:val="22"/>
                    </w:rPr>
                  </w:pPr>
                  <w:r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1 – FDA</w:t>
                  </w:r>
                  <w:r w:rsidR="006559E4">
                    <w:rPr>
                      <w:rFonts w:ascii="Lucida Bright" w:hAnsi="Lucida Bright" w:cs="Arial"/>
                      <w:sz w:val="22"/>
                      <w:szCs w:val="22"/>
                    </w:rPr>
                    <w:t xml:space="preserve"> </w:t>
                  </w:r>
                  <w:r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Approval Spotlight</w:t>
                  </w:r>
                </w:p>
                <w:p w14:paraId="70CFF106" w14:textId="3897409C" w:rsidR="00144026" w:rsidRPr="0031440A" w:rsidRDefault="006C0291" w:rsidP="009E2827">
                  <w:pPr>
                    <w:pStyle w:val="BlockText"/>
                    <w:rPr>
                      <w:rFonts w:ascii="Lucida Bright" w:hAnsi="Lucida Bright" w:cs="Arial"/>
                      <w:sz w:val="22"/>
                      <w:szCs w:val="22"/>
                    </w:rPr>
                  </w:pPr>
                  <w:r>
                    <w:rPr>
                      <w:rFonts w:ascii="Lucida Bright" w:hAnsi="Lucida Bright" w:cs="Arial"/>
                      <w:sz w:val="22"/>
                      <w:szCs w:val="22"/>
                    </w:rPr>
                    <w:t>2</w:t>
                  </w:r>
                  <w:r w:rsidR="00144026"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 xml:space="preserve"> –</w:t>
                  </w:r>
                  <w:r w:rsidR="006559E4">
                    <w:rPr>
                      <w:rFonts w:ascii="Lucida Bright" w:hAnsi="Lucida Bright" w:cs="Arial"/>
                      <w:sz w:val="22"/>
                      <w:szCs w:val="22"/>
                    </w:rPr>
                    <w:t xml:space="preserve"> </w:t>
                  </w:r>
                  <w:r w:rsidR="00144026"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Guideline Updates</w:t>
                  </w:r>
                </w:p>
                <w:p w14:paraId="745E6F8F" w14:textId="101954D1" w:rsidR="00144026" w:rsidRPr="0031440A" w:rsidRDefault="00104CBA" w:rsidP="009E2827">
                  <w:pPr>
                    <w:pStyle w:val="BlockText"/>
                    <w:rPr>
                      <w:rFonts w:ascii="Lucida Bright" w:hAnsi="Lucida Bright" w:cs="Arial"/>
                      <w:sz w:val="22"/>
                      <w:szCs w:val="22"/>
                    </w:rPr>
                  </w:pPr>
                  <w:r>
                    <w:rPr>
                      <w:rFonts w:ascii="Lucida Bright" w:hAnsi="Lucida Bright" w:cs="Arial"/>
                      <w:sz w:val="22"/>
                      <w:szCs w:val="22"/>
                    </w:rPr>
                    <w:t>4</w:t>
                  </w:r>
                  <w:r w:rsidR="00144026"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 xml:space="preserve"> – Legislative News</w:t>
                  </w:r>
                </w:p>
                <w:p w14:paraId="65EAAEDE" w14:textId="77777777" w:rsidR="00144026" w:rsidRPr="0031440A" w:rsidRDefault="00144026" w:rsidP="009E2827">
                  <w:pPr>
                    <w:pStyle w:val="BlockText"/>
                    <w:rPr>
                      <w:rFonts w:ascii="Lucida Bright" w:hAnsi="Lucida Bright" w:cs="Arial"/>
                      <w:sz w:val="20"/>
                    </w:rPr>
                  </w:pPr>
                </w:p>
              </w:tc>
            </w:tr>
            <w:tr w:rsidR="00144026" w:rsidRPr="0031440A" w14:paraId="7593061D" w14:textId="77777777" w:rsidTr="00725A6F">
              <w:trPr>
                <w:trHeight w:val="63"/>
                <w:jc w:val="center"/>
              </w:trPr>
              <w:tc>
                <w:tcPr>
                  <w:tcW w:w="2951" w:type="dxa"/>
                  <w:tcBorders>
                    <w:top w:val="single" w:sz="24" w:space="0" w:color="FFFFFF" w:themeColor="background1"/>
                  </w:tcBorders>
                  <w:shd w:val="clear" w:color="auto" w:fill="auto"/>
                  <w:tcMar>
                    <w:top w:w="288" w:type="dxa"/>
                  </w:tcMar>
                </w:tcPr>
                <w:p w14:paraId="6FBEF20B" w14:textId="777B3792" w:rsidR="00144026" w:rsidRPr="0031440A" w:rsidRDefault="00144026" w:rsidP="009E2827">
                  <w:pPr>
                    <w:pStyle w:val="Subtitle"/>
                    <w:rPr>
                      <w:rFonts w:ascii="Lucida Bright" w:hAnsi="Lucida Bright" w:cs="Arial"/>
                      <w:sz w:val="20"/>
                      <w:szCs w:val="20"/>
                    </w:rPr>
                  </w:pPr>
                  <w:r w:rsidRPr="0031440A">
                    <w:rPr>
                      <w:rFonts w:ascii="Lucida Bright" w:hAnsi="Lucida Bright" w:cs="Arial"/>
                      <w:sz w:val="44"/>
                      <w:szCs w:val="44"/>
                    </w:rPr>
                    <w:t>Contact Us</w:t>
                  </w:r>
                  <w:r w:rsidR="00EB1B1C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8CF5496" wp14:editId="7B012F29">
                            <wp:extent cx="1842135" cy="635"/>
                            <wp:effectExtent l="19685" t="20320" r="24130" b="27305"/>
                            <wp:docPr id="1244724992" name="Straight Connector 1" descr="straight li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421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71580E9" id="Straight Connector 1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5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" strokecolor="white [3212]" strokeweight="3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B5871EE" w14:textId="77777777" w:rsidR="00144026" w:rsidRPr="0031440A" w:rsidRDefault="00144026" w:rsidP="009E2827">
                  <w:pPr>
                    <w:pStyle w:val="Subtitle"/>
                    <w:rPr>
                      <w:rFonts w:ascii="Lucida Bright" w:hAnsi="Lucida Bright" w:cs="Arial"/>
                      <w:sz w:val="20"/>
                      <w:szCs w:val="20"/>
                    </w:rPr>
                  </w:pPr>
                </w:p>
                <w:p w14:paraId="5B177A85" w14:textId="77777777" w:rsidR="00144026" w:rsidRPr="0031440A" w:rsidRDefault="00144026" w:rsidP="009E2827">
                  <w:pPr>
                    <w:pStyle w:val="BlockHeading2"/>
                    <w:rPr>
                      <w:rFonts w:ascii="Lucida Bright" w:hAnsi="Lucida Bright" w:cs="Arial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Bright" w:hAnsi="Lucida Bright" w:cs="Arial"/>
                      <w:sz w:val="30"/>
                      <w:szCs w:val="30"/>
                    </w:rPr>
                    <w:t>Acentra</w:t>
                  </w:r>
                  <w:proofErr w:type="spellEnd"/>
                </w:p>
                <w:p w14:paraId="2EC42FF6" w14:textId="77777777" w:rsidR="00144026" w:rsidRPr="0031440A" w:rsidRDefault="00144026" w:rsidP="009E2827">
                  <w:pPr>
                    <w:pStyle w:val="BlockText"/>
                    <w:tabs>
                      <w:tab w:val="right" w:pos="2977"/>
                    </w:tabs>
                    <w:rPr>
                      <w:rFonts w:ascii="Lucida Bright" w:hAnsi="Lucida Bright" w:cs="Arial"/>
                      <w:sz w:val="22"/>
                      <w:szCs w:val="22"/>
                    </w:rPr>
                  </w:pPr>
                  <w:r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2431 E. Glenn Ave., St 100</w:t>
                  </w:r>
                </w:p>
                <w:p w14:paraId="3770BC92" w14:textId="77777777" w:rsidR="00144026" w:rsidRPr="0031440A" w:rsidRDefault="00144026" w:rsidP="009E2827">
                  <w:pPr>
                    <w:pStyle w:val="BlockText"/>
                    <w:tabs>
                      <w:tab w:val="right" w:pos="2977"/>
                    </w:tabs>
                    <w:rPr>
                      <w:rFonts w:ascii="Lucida Bright" w:hAnsi="Lucida Bright" w:cs="Arial"/>
                      <w:sz w:val="22"/>
                      <w:szCs w:val="22"/>
                    </w:rPr>
                  </w:pPr>
                  <w:r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Auburn, AL 36830</w:t>
                  </w:r>
                </w:p>
                <w:p w14:paraId="7AFEFC76" w14:textId="77777777" w:rsidR="00144026" w:rsidRPr="0031440A" w:rsidRDefault="00144026" w:rsidP="009E2827">
                  <w:pPr>
                    <w:pStyle w:val="BlockText"/>
                    <w:tabs>
                      <w:tab w:val="right" w:pos="2977"/>
                    </w:tabs>
                    <w:rPr>
                      <w:rFonts w:ascii="Lucida Bright" w:hAnsi="Lucida Bright" w:cs="Arial"/>
                      <w:sz w:val="22"/>
                      <w:szCs w:val="22"/>
                    </w:rPr>
                  </w:pPr>
                  <w:r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334-352-8650</w:t>
                  </w:r>
                </w:p>
                <w:p w14:paraId="23282963" w14:textId="77777777" w:rsidR="00144026" w:rsidRPr="0031440A" w:rsidRDefault="00144026" w:rsidP="009E2827">
                  <w:pPr>
                    <w:pStyle w:val="BlockText"/>
                    <w:tabs>
                      <w:tab w:val="right" w:pos="2977"/>
                    </w:tabs>
                    <w:rPr>
                      <w:rFonts w:ascii="Lucida Bright" w:hAnsi="Lucida Bright" w:cs="Arial"/>
                      <w:sz w:val="24"/>
                      <w:szCs w:val="24"/>
                    </w:rPr>
                  </w:pPr>
                  <w:r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www.kepro.com</w:t>
                  </w:r>
                  <w:r w:rsidRPr="0031440A">
                    <w:rPr>
                      <w:rFonts w:ascii="Lucida Bright" w:hAnsi="Lucida Bright" w:cs="Arial"/>
                      <w:sz w:val="24"/>
                      <w:szCs w:val="24"/>
                    </w:rPr>
                    <w:tab/>
                  </w:r>
                </w:p>
                <w:p w14:paraId="56C891CE" w14:textId="77777777" w:rsidR="00144026" w:rsidRPr="0031440A" w:rsidRDefault="00144026" w:rsidP="009E2827">
                  <w:pPr>
                    <w:pStyle w:val="BlockHeading2"/>
                    <w:rPr>
                      <w:rFonts w:ascii="Lucida Bright" w:hAnsi="Lucida Bright" w:cs="Arial"/>
                      <w:sz w:val="24"/>
                      <w:szCs w:val="24"/>
                    </w:rPr>
                  </w:pPr>
                </w:p>
                <w:p w14:paraId="678E79AE" w14:textId="77777777" w:rsidR="00144026" w:rsidRPr="0031440A" w:rsidRDefault="00144026" w:rsidP="009E2827">
                  <w:pPr>
                    <w:pStyle w:val="BlockHeading2"/>
                    <w:rPr>
                      <w:rFonts w:ascii="Lucida Bright" w:hAnsi="Lucida Bright" w:cs="Arial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Bright" w:hAnsi="Lucida Bright" w:cs="Arial"/>
                      <w:sz w:val="30"/>
                      <w:szCs w:val="30"/>
                    </w:rPr>
                    <w:t>Acentra</w:t>
                  </w:r>
                  <w:proofErr w:type="spellEnd"/>
                  <w:r w:rsidRPr="0031440A">
                    <w:rPr>
                      <w:rFonts w:ascii="Lucida Bright" w:hAnsi="Lucida Bright" w:cs="Arial"/>
                      <w:sz w:val="30"/>
                      <w:szCs w:val="30"/>
                    </w:rPr>
                    <w:t xml:space="preserve"> Account Manager</w:t>
                  </w:r>
                </w:p>
                <w:p w14:paraId="5FDEECFD" w14:textId="77777777" w:rsidR="00144026" w:rsidRPr="0031440A" w:rsidRDefault="00144026" w:rsidP="009E2827">
                  <w:pPr>
                    <w:pStyle w:val="BlockText"/>
                    <w:rPr>
                      <w:rFonts w:ascii="Lucida Bright" w:hAnsi="Lucida Bright" w:cs="Arial"/>
                      <w:sz w:val="22"/>
                      <w:szCs w:val="22"/>
                    </w:rPr>
                  </w:pPr>
                  <w:r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Alena Mitchell, PharmD</w:t>
                  </w:r>
                </w:p>
                <w:p w14:paraId="06368B84" w14:textId="666B2924" w:rsidR="00144026" w:rsidRPr="0031440A" w:rsidRDefault="00C9143D" w:rsidP="009E2827">
                  <w:pPr>
                    <w:pStyle w:val="BlockText"/>
                    <w:rPr>
                      <w:rFonts w:ascii="Lucida Bright" w:hAnsi="Lucida Bright" w:cs="Arial"/>
                      <w:sz w:val="20"/>
                    </w:rPr>
                  </w:pPr>
                  <w:r>
                    <w:rPr>
                      <w:rFonts w:ascii="Lucida Bright" w:hAnsi="Lucida Bright" w:cs="Arial"/>
                      <w:sz w:val="22"/>
                      <w:szCs w:val="22"/>
                    </w:rPr>
                    <w:t>alena.mitchell</w:t>
                  </w:r>
                  <w:r w:rsidR="00144026"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@</w:t>
                  </w:r>
                  <w:r>
                    <w:rPr>
                      <w:rFonts w:ascii="Lucida Bright" w:hAnsi="Lucida Bright" w:cs="Arial"/>
                      <w:sz w:val="22"/>
                      <w:szCs w:val="22"/>
                    </w:rPr>
                    <w:t>acentra.</w:t>
                  </w:r>
                  <w:r w:rsidR="00144026" w:rsidRPr="0031440A">
                    <w:rPr>
                      <w:rFonts w:ascii="Lucida Bright" w:hAnsi="Lucida Bright" w:cs="Arial"/>
                      <w:sz w:val="22"/>
                      <w:szCs w:val="22"/>
                    </w:rPr>
                    <w:t>com</w:t>
                  </w:r>
                </w:p>
              </w:tc>
            </w:tr>
          </w:tbl>
          <w:p w14:paraId="245E8B76" w14:textId="77777777" w:rsidR="00144026" w:rsidRPr="0031440A" w:rsidRDefault="00144026" w:rsidP="009E2827">
            <w:pPr>
              <w:spacing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5A18EA55" w14:textId="77777777" w:rsidR="00144026" w:rsidRPr="0031440A" w:rsidRDefault="00144026" w:rsidP="009E2827">
            <w:pPr>
              <w:pStyle w:val="Title"/>
              <w:spacing w:after="160"/>
              <w:rPr>
                <w:rFonts w:ascii="Lucida Bright" w:hAnsi="Lucida Bright" w:cs="Arial"/>
                <w:sz w:val="72"/>
                <w:szCs w:val="72"/>
              </w:rPr>
            </w:pPr>
            <w:r w:rsidRPr="0031440A">
              <w:rPr>
                <w:rFonts w:ascii="Lucida Bright" w:hAnsi="Lucida Bright" w:cs="Arial"/>
                <w:sz w:val="72"/>
                <w:szCs w:val="72"/>
              </w:rPr>
              <w:t xml:space="preserve">West Virginia RDUR  </w:t>
            </w:r>
          </w:p>
          <w:p w14:paraId="08E2AF20" w14:textId="45AEB18F" w:rsidR="00144026" w:rsidRPr="0031440A" w:rsidRDefault="00144026" w:rsidP="009E2827">
            <w:pPr>
              <w:pStyle w:val="Heading1"/>
              <w:tabs>
                <w:tab w:val="left" w:pos="2961"/>
              </w:tabs>
              <w:rPr>
                <w:rFonts w:ascii="Lucida Bright" w:hAnsi="Lucida Bright" w:cs="Arial"/>
                <w:sz w:val="36"/>
                <w:szCs w:val="36"/>
              </w:rPr>
            </w:pPr>
            <w:r w:rsidRPr="0031440A">
              <w:rPr>
                <w:rFonts w:ascii="Lucida Bright" w:hAnsi="Lucida Bright" w:cs="Arial"/>
                <w:sz w:val="36"/>
                <w:szCs w:val="36"/>
              </w:rPr>
              <w:t>202</w:t>
            </w:r>
            <w:r w:rsidR="00422FA4">
              <w:rPr>
                <w:rFonts w:ascii="Lucida Bright" w:hAnsi="Lucida Bright" w:cs="Arial"/>
                <w:sz w:val="36"/>
                <w:szCs w:val="36"/>
              </w:rPr>
              <w:t>5</w:t>
            </w:r>
            <w:r w:rsidRPr="0031440A">
              <w:rPr>
                <w:rFonts w:ascii="Lucida Bright" w:hAnsi="Lucida Bright" w:cs="Arial"/>
                <w:sz w:val="36"/>
                <w:szCs w:val="36"/>
              </w:rPr>
              <w:t xml:space="preserve"> Quarter </w:t>
            </w:r>
            <w:r w:rsidR="00C9143D">
              <w:rPr>
                <w:rFonts w:ascii="Lucida Bright" w:hAnsi="Lucida Bright" w:cs="Arial"/>
                <w:sz w:val="36"/>
                <w:szCs w:val="36"/>
              </w:rPr>
              <w:t>2</w:t>
            </w:r>
            <w:r w:rsidRPr="0031440A">
              <w:rPr>
                <w:rFonts w:ascii="Lucida Bright" w:hAnsi="Lucida Bright" w:cs="Arial"/>
                <w:sz w:val="36"/>
                <w:szCs w:val="36"/>
              </w:rPr>
              <w:t xml:space="preserve"> Newsletter</w:t>
            </w:r>
            <w:r w:rsidRPr="0031440A">
              <w:rPr>
                <w:rFonts w:ascii="Lucida Bright" w:hAnsi="Lucida Bright" w:cs="Arial"/>
                <w:sz w:val="36"/>
                <w:szCs w:val="36"/>
              </w:rPr>
              <w:tab/>
            </w:r>
          </w:p>
          <w:p w14:paraId="2F5038A4" w14:textId="77777777" w:rsidR="00426A5F" w:rsidRDefault="00144026" w:rsidP="009E2827">
            <w:pPr>
              <w:pStyle w:val="Quote"/>
              <w:spacing w:line="240" w:lineRule="auto"/>
              <w:jc w:val="center"/>
              <w:rPr>
                <w:rFonts w:ascii="Lucida Bright" w:hAnsi="Lucida Bright" w:cs="Arial"/>
                <w:b/>
                <w:bCs/>
                <w:sz w:val="32"/>
                <w:szCs w:val="32"/>
              </w:rPr>
            </w:pPr>
            <w:r w:rsidRPr="0031440A">
              <w:rPr>
                <w:rFonts w:ascii="Lucida Bright" w:hAnsi="Lucida Bright" w:cs="Arial"/>
                <w:b/>
                <w:bCs/>
                <w:sz w:val="32"/>
                <w:szCs w:val="32"/>
              </w:rPr>
              <w:t>FDA APPROVAL SPOTLIGHT</w:t>
            </w:r>
          </w:p>
          <w:p w14:paraId="7B6515D8" w14:textId="26DAB4A0" w:rsidR="00144026" w:rsidRPr="0031440A" w:rsidRDefault="00EE3EC4" w:rsidP="009E2827">
            <w:pPr>
              <w:pStyle w:val="Quote"/>
              <w:spacing w:line="240" w:lineRule="auto"/>
              <w:jc w:val="center"/>
              <w:rPr>
                <w:rFonts w:ascii="Lucida Bright" w:hAnsi="Lucida Bright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Lucida Bright" w:hAnsi="Lucida Bright" w:cs="Arial"/>
                <w:b/>
                <w:bCs/>
                <w:sz w:val="32"/>
                <w:szCs w:val="32"/>
              </w:rPr>
              <w:t>Journavx</w:t>
            </w:r>
            <w:proofErr w:type="spellEnd"/>
          </w:p>
          <w:p w14:paraId="265AE357" w14:textId="3F4BA657" w:rsidR="00643C91" w:rsidRPr="00F87C55" w:rsidRDefault="00017D84" w:rsidP="004306F8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90ED91C" wp14:editId="6E82CADA">
                  <wp:simplePos x="0" y="0"/>
                  <wp:positionH relativeFrom="column">
                    <wp:posOffset>-4464</wp:posOffset>
                  </wp:positionH>
                  <wp:positionV relativeFrom="paragraph">
                    <wp:posOffset>-2307</wp:posOffset>
                  </wp:positionV>
                  <wp:extent cx="2145665" cy="2145665"/>
                  <wp:effectExtent l="0" t="0" r="6985" b="6985"/>
                  <wp:wrapSquare wrapText="bothSides"/>
                  <wp:docPr id="1785496697" name="Picture 1" descr="JOURNAVX Prescription &amp; Dos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URNAVX Prescription &amp; Dosa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214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F1F">
              <w:rPr>
                <w:rFonts w:ascii="Arial" w:hAnsi="Arial" w:cs="Arial"/>
                <w:sz w:val="20"/>
              </w:rPr>
              <w:t>On January 30, 2025</w:t>
            </w:r>
            <w:r w:rsidR="00104CBA">
              <w:rPr>
                <w:rFonts w:ascii="Arial" w:hAnsi="Arial" w:cs="Arial"/>
                <w:sz w:val="20"/>
              </w:rPr>
              <w:t xml:space="preserve">, the Food and Drug Administration (FDA) approved a first-in-class therapy for the treatment of </w:t>
            </w:r>
            <w:r w:rsidR="00EE1DB4">
              <w:rPr>
                <w:rFonts w:ascii="Arial" w:hAnsi="Arial" w:cs="Arial"/>
                <w:sz w:val="20"/>
              </w:rPr>
              <w:t>moderate-to-severe acute pain</w:t>
            </w:r>
            <w:r w:rsidR="00852896">
              <w:rPr>
                <w:rFonts w:ascii="Arial" w:hAnsi="Arial" w:cs="Arial"/>
                <w:sz w:val="20"/>
              </w:rPr>
              <w:t>, Journavx (suzetrigine)</w:t>
            </w:r>
            <w:r w:rsidR="00104CBA">
              <w:rPr>
                <w:rFonts w:ascii="Arial" w:hAnsi="Arial" w:cs="Arial"/>
                <w:sz w:val="20"/>
              </w:rPr>
              <w:t>. Thi</w:t>
            </w:r>
            <w:r w:rsidR="0078463A">
              <w:rPr>
                <w:rFonts w:ascii="Arial" w:hAnsi="Arial" w:cs="Arial"/>
                <w:sz w:val="20"/>
              </w:rPr>
              <w:t xml:space="preserve">s novel therapy </w:t>
            </w:r>
            <w:r w:rsidR="0047718C">
              <w:rPr>
                <w:rFonts w:ascii="Arial" w:hAnsi="Arial" w:cs="Arial"/>
                <w:sz w:val="20"/>
              </w:rPr>
              <w:t>is a non-opioid analgesic</w:t>
            </w:r>
            <w:r w:rsidR="00C845E6">
              <w:rPr>
                <w:rFonts w:ascii="Arial" w:hAnsi="Arial" w:cs="Arial"/>
                <w:sz w:val="20"/>
              </w:rPr>
              <w:t xml:space="preserve"> and meant to help treat pain in patients that may not be good candidates for high doses of NSAIDs or opioids</w:t>
            </w:r>
            <w:r w:rsidR="006C0291">
              <w:rPr>
                <w:rFonts w:ascii="Arial" w:hAnsi="Arial" w:cs="Arial"/>
                <w:sz w:val="20"/>
              </w:rPr>
              <w:t>.</w:t>
            </w:r>
            <w:r w:rsidR="007F4B1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F4B1D">
              <w:rPr>
                <w:rFonts w:ascii="Arial" w:hAnsi="Arial" w:cs="Arial"/>
                <w:sz w:val="20"/>
              </w:rPr>
              <w:t>Journavx</w:t>
            </w:r>
            <w:proofErr w:type="spellEnd"/>
            <w:r w:rsidR="00F87C55">
              <w:rPr>
                <w:rFonts w:ascii="Arial" w:hAnsi="Arial" w:cs="Arial"/>
                <w:sz w:val="20"/>
              </w:rPr>
              <w:t xml:space="preserve"> acts as a selective antagonist to Na</w:t>
            </w:r>
            <w:r w:rsidR="00F87C55">
              <w:rPr>
                <w:rFonts w:ascii="Arial" w:hAnsi="Arial" w:cs="Arial"/>
                <w:sz w:val="20"/>
                <w:vertAlign w:val="subscript"/>
              </w:rPr>
              <w:t xml:space="preserve">v </w:t>
            </w:r>
            <w:r w:rsidR="00F87C55">
              <w:rPr>
                <w:rFonts w:ascii="Arial" w:hAnsi="Arial" w:cs="Arial"/>
                <w:sz w:val="20"/>
              </w:rPr>
              <w:t>1.8 voltage-gated sodium channels</w:t>
            </w:r>
            <w:r w:rsidR="0003764E">
              <w:rPr>
                <w:rFonts w:ascii="Arial" w:hAnsi="Arial" w:cs="Arial"/>
                <w:sz w:val="20"/>
              </w:rPr>
              <w:t>, which are primarily found in peripheral neurons.</w:t>
            </w:r>
          </w:p>
          <w:p w14:paraId="754B717C" w14:textId="758FE7BF" w:rsidR="00F2301D" w:rsidRDefault="00852896" w:rsidP="004306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Journavx </w:t>
            </w:r>
            <w:r w:rsidR="00E403B0">
              <w:rPr>
                <w:rFonts w:ascii="Arial" w:hAnsi="Arial" w:cs="Arial"/>
                <w:sz w:val="20"/>
              </w:rPr>
              <w:t>dosing is recommended as 100 mg orally for one loading dose on an empty stomach at least 1 hour prior to or 2 hours after a meal</w:t>
            </w:r>
            <w:r w:rsidR="006A1CF8">
              <w:rPr>
                <w:rFonts w:ascii="Arial" w:hAnsi="Arial" w:cs="Arial"/>
                <w:sz w:val="20"/>
              </w:rPr>
              <w:t xml:space="preserve">. Twelve hours after the loading dose, Journavx should be taken 50 mg orally every 12 hours </w:t>
            </w:r>
            <w:r w:rsidR="00321158">
              <w:rPr>
                <w:rFonts w:ascii="Arial" w:hAnsi="Arial" w:cs="Arial"/>
                <w:sz w:val="20"/>
              </w:rPr>
              <w:t>with or without food for up to 14 days.</w:t>
            </w:r>
            <w:r w:rsidR="00F2301D">
              <w:rPr>
                <w:rFonts w:ascii="Arial" w:hAnsi="Arial" w:cs="Arial"/>
                <w:sz w:val="20"/>
              </w:rPr>
              <w:t xml:space="preserve"> Its use is contraindicated with concurrent strong CYP3A4 inhibitors, and dose reduction is recommended</w:t>
            </w:r>
            <w:r w:rsidR="00993142">
              <w:rPr>
                <w:rFonts w:ascii="Arial" w:hAnsi="Arial" w:cs="Arial"/>
                <w:sz w:val="20"/>
              </w:rPr>
              <w:t xml:space="preserve"> for concurrent use with moderate CYP3A4 inhibitors</w:t>
            </w:r>
            <w:r w:rsidR="001C4C85">
              <w:rPr>
                <w:rFonts w:ascii="Arial" w:hAnsi="Arial" w:cs="Arial"/>
                <w:sz w:val="20"/>
              </w:rPr>
              <w:t>. (</w:t>
            </w:r>
            <w:r w:rsidR="00131017">
              <w:rPr>
                <w:rFonts w:ascii="Arial" w:hAnsi="Arial" w:cs="Arial"/>
                <w:sz w:val="20"/>
              </w:rPr>
              <w:t>For this regimen, the first 4 doses are the same with a dose reduction 50 mg orally every 24 hours starting at the 5</w:t>
            </w:r>
            <w:r w:rsidR="00131017" w:rsidRPr="00131017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131017">
              <w:rPr>
                <w:rFonts w:ascii="Arial" w:hAnsi="Arial" w:cs="Arial"/>
                <w:sz w:val="20"/>
              </w:rPr>
              <w:t xml:space="preserve"> dose.) Additionally, the </w:t>
            </w:r>
            <w:r w:rsidR="00FE63E1">
              <w:rPr>
                <w:rFonts w:ascii="Arial" w:hAnsi="Arial" w:cs="Arial"/>
                <w:sz w:val="20"/>
              </w:rPr>
              <w:t>same</w:t>
            </w:r>
            <w:r w:rsidR="00131017">
              <w:rPr>
                <w:rFonts w:ascii="Arial" w:hAnsi="Arial" w:cs="Arial"/>
                <w:sz w:val="20"/>
              </w:rPr>
              <w:t xml:space="preserve"> dose reductions </w:t>
            </w:r>
            <w:r w:rsidR="00FE63E1">
              <w:rPr>
                <w:rFonts w:ascii="Arial" w:hAnsi="Arial" w:cs="Arial"/>
                <w:sz w:val="20"/>
              </w:rPr>
              <w:t>is</w:t>
            </w:r>
            <w:r w:rsidR="00131017">
              <w:rPr>
                <w:rFonts w:ascii="Arial" w:hAnsi="Arial" w:cs="Arial"/>
                <w:sz w:val="20"/>
              </w:rPr>
              <w:t xml:space="preserve"> recommended for patients with Child-Pugh Class B</w:t>
            </w:r>
            <w:r w:rsidR="00FE63E1">
              <w:rPr>
                <w:rFonts w:ascii="Arial" w:hAnsi="Arial" w:cs="Arial"/>
                <w:sz w:val="20"/>
              </w:rPr>
              <w:t xml:space="preserve"> hepatic impairment</w:t>
            </w:r>
            <w:r w:rsidR="00E33A62">
              <w:rPr>
                <w:rFonts w:ascii="Arial" w:hAnsi="Arial" w:cs="Arial"/>
                <w:sz w:val="20"/>
              </w:rPr>
              <w:t>. Patients with Child-Pugh Class C hepatic impairment are recommended to avoid Journavx</w:t>
            </w:r>
            <w:r w:rsidR="007359D3">
              <w:rPr>
                <w:rFonts w:ascii="Arial" w:hAnsi="Arial" w:cs="Arial"/>
                <w:sz w:val="20"/>
              </w:rPr>
              <w:t xml:space="preserve"> therapy.</w:t>
            </w:r>
          </w:p>
          <w:p w14:paraId="0651A5C4" w14:textId="27783DAD" w:rsidR="00E33A62" w:rsidRDefault="00E30D8F" w:rsidP="00EF05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clinical trials, Journavx was compared to placeb</w:t>
            </w:r>
            <w:r w:rsidR="00497C2A">
              <w:rPr>
                <w:rFonts w:ascii="Arial" w:hAnsi="Arial" w:cs="Arial"/>
                <w:sz w:val="20"/>
              </w:rPr>
              <w:t>o and hydrocodone/</w:t>
            </w:r>
            <w:r w:rsidR="00EF0540">
              <w:rPr>
                <w:rFonts w:ascii="Arial" w:hAnsi="Arial" w:cs="Arial"/>
                <w:sz w:val="20"/>
              </w:rPr>
              <w:t xml:space="preserve"> </w:t>
            </w:r>
            <w:r w:rsidR="00497C2A">
              <w:rPr>
                <w:rFonts w:ascii="Arial" w:hAnsi="Arial" w:cs="Arial"/>
                <w:sz w:val="20"/>
              </w:rPr>
              <w:t xml:space="preserve">acetaminophen </w:t>
            </w:r>
            <w:r w:rsidR="00FE0CD9">
              <w:rPr>
                <w:rFonts w:ascii="Arial" w:hAnsi="Arial" w:cs="Arial"/>
                <w:sz w:val="20"/>
              </w:rPr>
              <w:t xml:space="preserve">5/325 mg orally every 6 hours </w:t>
            </w:r>
            <w:r w:rsidR="00497C2A">
              <w:rPr>
                <w:rFonts w:ascii="Arial" w:hAnsi="Arial" w:cs="Arial"/>
                <w:sz w:val="20"/>
              </w:rPr>
              <w:t>as an ac</w:t>
            </w:r>
            <w:r w:rsidR="000D17DA">
              <w:rPr>
                <w:rFonts w:ascii="Arial" w:hAnsi="Arial" w:cs="Arial"/>
                <w:sz w:val="20"/>
              </w:rPr>
              <w:t>t</w:t>
            </w:r>
            <w:r w:rsidR="00497C2A">
              <w:rPr>
                <w:rFonts w:ascii="Arial" w:hAnsi="Arial" w:cs="Arial"/>
                <w:sz w:val="20"/>
              </w:rPr>
              <w:t xml:space="preserve">ive control </w:t>
            </w:r>
            <w:r w:rsidR="000D17DA">
              <w:rPr>
                <w:rFonts w:ascii="Arial" w:hAnsi="Arial" w:cs="Arial"/>
                <w:sz w:val="20"/>
              </w:rPr>
              <w:t xml:space="preserve">starting at 4 hours after an abdominoplasty or 9 hours after a </w:t>
            </w:r>
            <w:r w:rsidR="00FE0CD9">
              <w:rPr>
                <w:rFonts w:ascii="Arial" w:hAnsi="Arial" w:cs="Arial"/>
                <w:sz w:val="20"/>
              </w:rPr>
              <w:t>bunionectomy</w:t>
            </w:r>
            <w:r w:rsidR="00BF23B1">
              <w:rPr>
                <w:rFonts w:ascii="Arial" w:hAnsi="Arial" w:cs="Arial"/>
                <w:sz w:val="20"/>
              </w:rPr>
              <w:t xml:space="preserve">. Ibuprofen 400 mg orally every 6 hours as needed was also utilized as a rescue therapy in both clinical trials. </w:t>
            </w:r>
            <w:r w:rsidR="003F3D02">
              <w:rPr>
                <w:rFonts w:ascii="Arial" w:hAnsi="Arial" w:cs="Arial"/>
                <w:sz w:val="20"/>
              </w:rPr>
              <w:t>Efficacy of pain relief was measured by a verbal categorical rating system (VRS) as mild, moderate, or severe pain, as well as an 11-point numeric pain rating scal</w:t>
            </w:r>
            <w:r w:rsidR="00A65075">
              <w:rPr>
                <w:rFonts w:ascii="Arial" w:hAnsi="Arial" w:cs="Arial"/>
                <w:sz w:val="20"/>
              </w:rPr>
              <w:t>e.</w:t>
            </w:r>
            <w:r w:rsidR="00AC4A19">
              <w:rPr>
                <w:rFonts w:ascii="Arial" w:hAnsi="Arial" w:cs="Arial"/>
                <w:sz w:val="20"/>
              </w:rPr>
              <w:t xml:space="preserve"> The primary endpoint was calculated as </w:t>
            </w:r>
            <w:r w:rsidR="002E2F92">
              <w:rPr>
                <w:rFonts w:ascii="Arial" w:hAnsi="Arial" w:cs="Arial"/>
                <w:sz w:val="20"/>
              </w:rPr>
              <w:t>the time-weighted sum of pain intensity difference in the first 48 hours post-procedure.</w:t>
            </w:r>
            <w:r w:rsidR="00A65075">
              <w:rPr>
                <w:rFonts w:ascii="Arial" w:hAnsi="Arial" w:cs="Arial"/>
                <w:sz w:val="20"/>
              </w:rPr>
              <w:t xml:space="preserve"> In</w:t>
            </w:r>
            <w:r w:rsidR="007953B4">
              <w:rPr>
                <w:rFonts w:ascii="Arial" w:hAnsi="Arial" w:cs="Arial"/>
                <w:sz w:val="20"/>
              </w:rPr>
              <w:t xml:space="preserve"> both</w:t>
            </w:r>
            <w:r w:rsidR="00A65075">
              <w:rPr>
                <w:rFonts w:ascii="Arial" w:hAnsi="Arial" w:cs="Arial"/>
                <w:sz w:val="20"/>
              </w:rPr>
              <w:t xml:space="preserve"> the ab</w:t>
            </w:r>
            <w:r w:rsidR="00B92A22">
              <w:rPr>
                <w:rFonts w:ascii="Arial" w:hAnsi="Arial" w:cs="Arial"/>
                <w:sz w:val="20"/>
              </w:rPr>
              <w:t xml:space="preserve">dominoplasty </w:t>
            </w:r>
            <w:r w:rsidR="007953B4">
              <w:rPr>
                <w:rFonts w:ascii="Arial" w:hAnsi="Arial" w:cs="Arial"/>
                <w:sz w:val="20"/>
              </w:rPr>
              <w:t xml:space="preserve">and bunionectomy </w:t>
            </w:r>
            <w:r w:rsidR="00B92A22">
              <w:rPr>
                <w:rFonts w:ascii="Arial" w:hAnsi="Arial" w:cs="Arial"/>
                <w:sz w:val="20"/>
              </w:rPr>
              <w:t>trial</w:t>
            </w:r>
            <w:r w:rsidR="001A5FFD">
              <w:rPr>
                <w:rFonts w:ascii="Arial" w:hAnsi="Arial" w:cs="Arial"/>
                <w:sz w:val="20"/>
              </w:rPr>
              <w:t>s</w:t>
            </w:r>
            <w:r w:rsidR="00B92A22">
              <w:rPr>
                <w:rFonts w:ascii="Arial" w:hAnsi="Arial" w:cs="Arial"/>
                <w:sz w:val="20"/>
              </w:rPr>
              <w:t xml:space="preserve">, </w:t>
            </w:r>
            <w:r w:rsidR="00583783">
              <w:rPr>
                <w:rFonts w:ascii="Arial" w:hAnsi="Arial" w:cs="Arial"/>
                <w:sz w:val="20"/>
              </w:rPr>
              <w:t xml:space="preserve">Journavx was </w:t>
            </w:r>
            <w:r w:rsidR="007953B4">
              <w:rPr>
                <w:rFonts w:ascii="Arial" w:hAnsi="Arial" w:cs="Arial"/>
                <w:sz w:val="20"/>
              </w:rPr>
              <w:t>superior to placebo but not to the active control in improving pain</w:t>
            </w:r>
            <w:r w:rsidR="001A5FFD">
              <w:rPr>
                <w:rFonts w:ascii="Arial" w:hAnsi="Arial" w:cs="Arial"/>
                <w:sz w:val="20"/>
              </w:rPr>
              <w:t xml:space="preserve">. Of note, in the bunionectomy trial, </w:t>
            </w:r>
            <w:r w:rsidR="00FC3F8B">
              <w:rPr>
                <w:rFonts w:ascii="Arial" w:hAnsi="Arial" w:cs="Arial"/>
                <w:sz w:val="20"/>
              </w:rPr>
              <w:t>the hydrocodone/acetaminophen active control was statistically superior to Journavx. These results can be seen in the table below.</w:t>
            </w:r>
          </w:p>
          <w:p w14:paraId="74E9D641" w14:textId="77777777" w:rsidR="00EF0540" w:rsidRDefault="00EF0540" w:rsidP="00EF0540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802"/>
              <w:gridCol w:w="1798"/>
              <w:gridCol w:w="1798"/>
            </w:tblGrid>
            <w:tr w:rsidR="009A7825" w14:paraId="19D904E1" w14:textId="77777777" w:rsidTr="00C40D29">
              <w:tc>
                <w:tcPr>
                  <w:tcW w:w="1831" w:type="dxa"/>
                  <w:shd w:val="clear" w:color="auto" w:fill="E79A1C" w:themeFill="accent2" w:themeFillShade="BF"/>
                </w:tcPr>
                <w:p w14:paraId="2C90A65A" w14:textId="51D5E8AF" w:rsidR="009A7825" w:rsidRPr="00C40D29" w:rsidRDefault="002D775B" w:rsidP="004306F8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</w:rPr>
                    <w:t>Abdominoplasty</w:t>
                  </w:r>
                </w:p>
              </w:tc>
              <w:tc>
                <w:tcPr>
                  <w:tcW w:w="1802" w:type="dxa"/>
                  <w:tcBorders>
                    <w:top w:val="nil"/>
                    <w:right w:val="nil"/>
                  </w:tcBorders>
                </w:tcPr>
                <w:p w14:paraId="444A8AD6" w14:textId="77777777" w:rsidR="009A7825" w:rsidRDefault="009A7825" w:rsidP="004306F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right w:val="nil"/>
                  </w:tcBorders>
                </w:tcPr>
                <w:p w14:paraId="7ABCF9CC" w14:textId="77777777" w:rsidR="009A7825" w:rsidRDefault="009A7825" w:rsidP="004306F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right w:val="nil"/>
                  </w:tcBorders>
                </w:tcPr>
                <w:p w14:paraId="3EC800F1" w14:textId="77777777" w:rsidR="009A7825" w:rsidRDefault="009A7825" w:rsidP="004306F8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A7825" w14:paraId="12C577BF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359CF1B9" w14:textId="5BD87FC4" w:rsidR="009A7825" w:rsidRPr="00C40D29" w:rsidRDefault="0064664F" w:rsidP="004306F8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Efficacy Measure</w:t>
                  </w:r>
                </w:p>
              </w:tc>
              <w:tc>
                <w:tcPr>
                  <w:tcW w:w="1802" w:type="dxa"/>
                  <w:shd w:val="clear" w:color="auto" w:fill="F6D7A6" w:themeFill="accent2" w:themeFillTint="99"/>
                </w:tcPr>
                <w:p w14:paraId="711D4ED4" w14:textId="77777777" w:rsidR="0064664F" w:rsidRPr="000F5649" w:rsidRDefault="007B183A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proofErr w:type="spellStart"/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Journavx</w:t>
                  </w:r>
                  <w:proofErr w:type="spellEnd"/>
                </w:p>
                <w:p w14:paraId="60F212B5" w14:textId="1E08BD90" w:rsidR="007B183A" w:rsidRPr="000F5649" w:rsidRDefault="007B183A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(N=447)</w:t>
                  </w:r>
                </w:p>
              </w:tc>
              <w:tc>
                <w:tcPr>
                  <w:tcW w:w="1798" w:type="dxa"/>
                  <w:shd w:val="clear" w:color="auto" w:fill="F6D7A6" w:themeFill="accent2" w:themeFillTint="99"/>
                </w:tcPr>
                <w:p w14:paraId="6638896E" w14:textId="77777777" w:rsidR="0064664F" w:rsidRPr="000F5649" w:rsidRDefault="007B183A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Placebo</w:t>
                  </w:r>
                </w:p>
                <w:p w14:paraId="41C4950D" w14:textId="5CED1EF8" w:rsidR="007B183A" w:rsidRPr="000F5649" w:rsidRDefault="007B183A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(N=223)</w:t>
                  </w:r>
                </w:p>
              </w:tc>
              <w:tc>
                <w:tcPr>
                  <w:tcW w:w="1798" w:type="dxa"/>
                  <w:shd w:val="clear" w:color="auto" w:fill="F6D7A6" w:themeFill="accent2" w:themeFillTint="99"/>
                </w:tcPr>
                <w:p w14:paraId="75850198" w14:textId="77777777" w:rsidR="00DB6D9B" w:rsidRPr="000F5649" w:rsidRDefault="007B183A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Active Control</w:t>
                  </w:r>
                </w:p>
                <w:p w14:paraId="2D96F1C2" w14:textId="0220B398" w:rsidR="007B183A" w:rsidRPr="000F5649" w:rsidRDefault="007B183A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(N=448)</w:t>
                  </w:r>
                </w:p>
              </w:tc>
            </w:tr>
            <w:tr w:rsidR="009A7825" w14:paraId="58EF441B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3C8F8CD0" w14:textId="28549810" w:rsidR="009A7825" w:rsidRPr="00C40D29" w:rsidRDefault="0064664F" w:rsidP="004306F8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LS Mean</w:t>
                  </w:r>
                </w:p>
              </w:tc>
              <w:tc>
                <w:tcPr>
                  <w:tcW w:w="1802" w:type="dxa"/>
                  <w:shd w:val="clear" w:color="auto" w:fill="FCF1E1" w:themeFill="accent2" w:themeFillTint="33"/>
                </w:tcPr>
                <w:p w14:paraId="6A19EAC4" w14:textId="69435895" w:rsidR="009E1742" w:rsidRDefault="009E1742" w:rsidP="004306F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118.4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7F504DEC" w14:textId="2968A539" w:rsidR="009A7825" w:rsidRDefault="009E1742" w:rsidP="004306F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70.1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46CA4614" w14:textId="6BA896EF" w:rsidR="009A7825" w:rsidRDefault="009E1742" w:rsidP="004306F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111.8</w:t>
                  </w:r>
                </w:p>
              </w:tc>
            </w:tr>
            <w:tr w:rsidR="009E1742" w14:paraId="38BE92A2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357CCCFB" w14:textId="77777777" w:rsid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LS Mean Difference vs. Placebo</w:t>
                  </w:r>
                </w:p>
                <w:p w14:paraId="6E14ADA7" w14:textId="6433E248" w:rsidR="009E1742" w:rsidRP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(95% CI)</w:t>
                  </w:r>
                </w:p>
              </w:tc>
              <w:tc>
                <w:tcPr>
                  <w:tcW w:w="1802" w:type="dxa"/>
                  <w:shd w:val="clear" w:color="auto" w:fill="FCF1E1" w:themeFill="accent2" w:themeFillTint="33"/>
                </w:tcPr>
                <w:p w14:paraId="6581169A" w14:textId="77777777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48.4 (33.6, 63.1)</w:t>
                  </w:r>
                </w:p>
                <w:p w14:paraId="2A56C473" w14:textId="244CF441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p&lt;0.0001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5DBB2F17" w14:textId="3DB338D9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710A71D9" w14:textId="1F98B793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9E1742" w14:paraId="316B2A41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020C33FC" w14:textId="19E99D3C" w:rsidR="009E1742" w:rsidRP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lastRenderedPageBreak/>
                    <w:t>LS Mean Difference vs. Active Control (95% CI)</w:t>
                  </w:r>
                </w:p>
              </w:tc>
              <w:tc>
                <w:tcPr>
                  <w:tcW w:w="1802" w:type="dxa"/>
                  <w:tcBorders>
                    <w:bottom w:val="single" w:sz="4" w:space="0" w:color="auto"/>
                  </w:tcBorders>
                  <w:shd w:val="clear" w:color="auto" w:fill="FCF1E1" w:themeFill="accent2" w:themeFillTint="33"/>
                </w:tcPr>
                <w:p w14:paraId="293309F0" w14:textId="06A28B65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6.6 (-5.4,18.7)</w:t>
                  </w:r>
                </w:p>
              </w:tc>
              <w:tc>
                <w:tcPr>
                  <w:tcW w:w="1798" w:type="dxa"/>
                  <w:tcBorders>
                    <w:bottom w:val="single" w:sz="4" w:space="0" w:color="auto"/>
                  </w:tcBorders>
                  <w:shd w:val="clear" w:color="auto" w:fill="FCF1E1" w:themeFill="accent2" w:themeFillTint="33"/>
                </w:tcPr>
                <w:p w14:paraId="2611094B" w14:textId="40C7349B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1798" w:type="dxa"/>
                  <w:tcBorders>
                    <w:bottom w:val="single" w:sz="4" w:space="0" w:color="auto"/>
                  </w:tcBorders>
                  <w:shd w:val="clear" w:color="auto" w:fill="FCF1E1" w:themeFill="accent2" w:themeFillTint="33"/>
                </w:tcPr>
                <w:p w14:paraId="769E4933" w14:textId="3539EC9C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9E1742" w14:paraId="0CEB41FE" w14:textId="77777777" w:rsidTr="00C40D29">
              <w:tc>
                <w:tcPr>
                  <w:tcW w:w="1831" w:type="dxa"/>
                  <w:shd w:val="clear" w:color="auto" w:fill="E79A1C" w:themeFill="accent2" w:themeFillShade="BF"/>
                </w:tcPr>
                <w:p w14:paraId="7740DBD9" w14:textId="4BDED5D9" w:rsidR="009E1742" w:rsidRP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</w:rPr>
                    <w:t>Bunionectomy</w:t>
                  </w:r>
                </w:p>
              </w:tc>
              <w:tc>
                <w:tcPr>
                  <w:tcW w:w="1802" w:type="dxa"/>
                  <w:tcBorders>
                    <w:right w:val="nil"/>
                  </w:tcBorders>
                </w:tcPr>
                <w:p w14:paraId="0E3F04AD" w14:textId="77777777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98" w:type="dxa"/>
                  <w:tcBorders>
                    <w:left w:val="nil"/>
                    <w:right w:val="nil"/>
                  </w:tcBorders>
                </w:tcPr>
                <w:p w14:paraId="22A3299B" w14:textId="77777777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98" w:type="dxa"/>
                  <w:tcBorders>
                    <w:left w:val="nil"/>
                    <w:right w:val="nil"/>
                  </w:tcBorders>
                </w:tcPr>
                <w:p w14:paraId="687FE118" w14:textId="77777777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E1742" w14:paraId="6AD4F2CF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04BD3C1F" w14:textId="3A6FA7DA" w:rsidR="009E1742" w:rsidRP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Efficacy Measure</w:t>
                  </w:r>
                </w:p>
              </w:tc>
              <w:tc>
                <w:tcPr>
                  <w:tcW w:w="1802" w:type="dxa"/>
                  <w:shd w:val="clear" w:color="auto" w:fill="F6D7A6" w:themeFill="accent2" w:themeFillTint="99"/>
                </w:tcPr>
                <w:p w14:paraId="15EEA001" w14:textId="77777777" w:rsidR="009E1742" w:rsidRPr="000F5649" w:rsidRDefault="009E1742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Journavx</w:t>
                  </w:r>
                </w:p>
                <w:p w14:paraId="6AB82D6D" w14:textId="7E7D0706" w:rsidR="009E1742" w:rsidRPr="000F5649" w:rsidRDefault="009E1742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(N=426)</w:t>
                  </w:r>
                </w:p>
              </w:tc>
              <w:tc>
                <w:tcPr>
                  <w:tcW w:w="1798" w:type="dxa"/>
                  <w:shd w:val="clear" w:color="auto" w:fill="F6D7A6" w:themeFill="accent2" w:themeFillTint="99"/>
                </w:tcPr>
                <w:p w14:paraId="1D836805" w14:textId="77777777" w:rsidR="009E1742" w:rsidRPr="000F5649" w:rsidRDefault="009E1742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Placebo</w:t>
                  </w:r>
                </w:p>
                <w:p w14:paraId="36B3A955" w14:textId="553A3E97" w:rsidR="009E1742" w:rsidRPr="000F5649" w:rsidRDefault="009E1742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(N=216)</w:t>
                  </w:r>
                </w:p>
              </w:tc>
              <w:tc>
                <w:tcPr>
                  <w:tcW w:w="1798" w:type="dxa"/>
                  <w:shd w:val="clear" w:color="auto" w:fill="F6D7A6" w:themeFill="accent2" w:themeFillTint="99"/>
                </w:tcPr>
                <w:p w14:paraId="367FF83A" w14:textId="77777777" w:rsidR="009E1742" w:rsidRPr="000F5649" w:rsidRDefault="009E1742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Active Control</w:t>
                  </w:r>
                </w:p>
                <w:p w14:paraId="2573E996" w14:textId="6662ACF3" w:rsidR="009E1742" w:rsidRPr="000F5649" w:rsidRDefault="009E1742" w:rsidP="000F56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0F5649">
                    <w:rPr>
                      <w:rFonts w:ascii="Arial" w:hAnsi="Arial" w:cs="Arial"/>
                      <w:b/>
                      <w:bCs/>
                      <w:sz w:val="20"/>
                    </w:rPr>
                    <w:t>(N=431)</w:t>
                  </w:r>
                </w:p>
              </w:tc>
            </w:tr>
            <w:tr w:rsidR="009E1742" w14:paraId="0570EEFB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0F1D49CF" w14:textId="68871D4D" w:rsidR="009E1742" w:rsidRP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LS Mean</w:t>
                  </w:r>
                </w:p>
              </w:tc>
              <w:tc>
                <w:tcPr>
                  <w:tcW w:w="1802" w:type="dxa"/>
                  <w:shd w:val="clear" w:color="auto" w:fill="FCF1E1" w:themeFill="accent2" w:themeFillTint="33"/>
                </w:tcPr>
                <w:p w14:paraId="71A541A5" w14:textId="2F222860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99.9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6BD457AA" w14:textId="4C73B3EE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70.6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4C34175B" w14:textId="0DCA8F20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120.1</w:t>
                  </w:r>
                </w:p>
              </w:tc>
            </w:tr>
            <w:tr w:rsidR="009E1742" w14:paraId="3FE10CCF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2577D3D1" w14:textId="77777777" w:rsidR="000F564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LS Mean Difference vs. Placebo</w:t>
                  </w:r>
                </w:p>
                <w:p w14:paraId="4BBA1E7A" w14:textId="5B6AA63A" w:rsidR="009E1742" w:rsidRP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(95% CI)</w:t>
                  </w:r>
                </w:p>
              </w:tc>
              <w:tc>
                <w:tcPr>
                  <w:tcW w:w="1802" w:type="dxa"/>
                  <w:shd w:val="clear" w:color="auto" w:fill="FCF1E1" w:themeFill="accent2" w:themeFillTint="33"/>
                </w:tcPr>
                <w:p w14:paraId="32E7E01F" w14:textId="77777777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29.3 (14.0, 44.6)</w:t>
                  </w:r>
                </w:p>
                <w:p w14:paraId="3E30084F" w14:textId="048DC747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p=0.0002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53BB9E4F" w14:textId="404972CE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5FB50DD8" w14:textId="5CC61E7A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9E1742" w14:paraId="23D2B232" w14:textId="77777777" w:rsidTr="00C40D29">
              <w:tc>
                <w:tcPr>
                  <w:tcW w:w="1831" w:type="dxa"/>
                  <w:shd w:val="clear" w:color="auto" w:fill="F6D7A6" w:themeFill="accent2" w:themeFillTint="99"/>
                </w:tcPr>
                <w:p w14:paraId="3E7A4B60" w14:textId="0B1B4C7E" w:rsidR="009E1742" w:rsidRPr="00C40D29" w:rsidRDefault="009E1742" w:rsidP="009E1742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40D29">
                    <w:rPr>
                      <w:rFonts w:ascii="Arial" w:hAnsi="Arial" w:cs="Arial"/>
                      <w:b/>
                      <w:bCs/>
                      <w:sz w:val="20"/>
                    </w:rPr>
                    <w:t>LS Mean Difference vs. Active Control (95% CI)</w:t>
                  </w:r>
                </w:p>
              </w:tc>
              <w:tc>
                <w:tcPr>
                  <w:tcW w:w="1802" w:type="dxa"/>
                  <w:shd w:val="clear" w:color="auto" w:fill="FCF1E1" w:themeFill="accent2" w:themeFillTint="33"/>
                </w:tcPr>
                <w:p w14:paraId="74AA8334" w14:textId="7A7D9EFE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-20.2 (-32.7, -7.7)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4C786038" w14:textId="06FB1C47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1798" w:type="dxa"/>
                  <w:shd w:val="clear" w:color="auto" w:fill="FCF1E1" w:themeFill="accent2" w:themeFillTint="33"/>
                </w:tcPr>
                <w:p w14:paraId="411027C6" w14:textId="6908859F" w:rsidR="009E1742" w:rsidRDefault="009E1742" w:rsidP="009E1742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</w:tbl>
          <w:p w14:paraId="6C7282E4" w14:textId="77777777" w:rsidR="00EF0540" w:rsidRDefault="00EF0540" w:rsidP="004306F8">
            <w:pPr>
              <w:rPr>
                <w:rFonts w:ascii="Arial" w:hAnsi="Arial" w:cs="Arial"/>
                <w:sz w:val="20"/>
              </w:rPr>
            </w:pPr>
          </w:p>
          <w:p w14:paraId="4505DEA0" w14:textId="49CD84F5" w:rsidR="00FC3F8B" w:rsidRDefault="004C63EB" w:rsidP="004306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 note, in both trials, the majority of participants were female (≥85%)</w:t>
            </w:r>
            <w:r w:rsidR="0047505E">
              <w:rPr>
                <w:rFonts w:ascii="Arial" w:hAnsi="Arial" w:cs="Arial"/>
                <w:sz w:val="20"/>
              </w:rPr>
              <w:t xml:space="preserve"> and white (≥70%). </w:t>
            </w:r>
            <w:r w:rsidR="009A39FD">
              <w:rPr>
                <w:rFonts w:ascii="Arial" w:hAnsi="Arial" w:cs="Arial"/>
                <w:sz w:val="20"/>
              </w:rPr>
              <w:t xml:space="preserve">Medium time to meaningful time to pain relief was 119 minutes in the abdominoplasty trial and 240 minutes in the bunionectomy trial. </w:t>
            </w:r>
            <w:r w:rsidR="006D4F44">
              <w:rPr>
                <w:rFonts w:ascii="Arial" w:hAnsi="Arial" w:cs="Arial"/>
                <w:sz w:val="20"/>
              </w:rPr>
              <w:t>The most common adverse reactions were pruritus/rash, muscle spasms, and increased creatine phosphokinase.</w:t>
            </w:r>
          </w:p>
          <w:p w14:paraId="63DA747E" w14:textId="6924571B" w:rsidR="006D4F44" w:rsidRDefault="001E2124" w:rsidP="004306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While these trials did not demonstrate promising results when compared to </w:t>
            </w:r>
            <w:r w:rsidR="0031462A">
              <w:rPr>
                <w:rFonts w:ascii="Arial" w:hAnsi="Arial" w:cs="Arial"/>
                <w:sz w:val="20"/>
              </w:rPr>
              <w:t xml:space="preserve">the active opioid control for acute pain treatment, they did demonstrate a statistically significant improvement in acute pain compared to </w:t>
            </w:r>
            <w:r w:rsidR="00B05AE1">
              <w:rPr>
                <w:rFonts w:ascii="Arial" w:hAnsi="Arial" w:cs="Arial"/>
                <w:sz w:val="20"/>
              </w:rPr>
              <w:t>placebo. It is worth noting that post-operative pain in the first 48 hours can be intense</w:t>
            </w:r>
            <w:r w:rsidR="00B16BAE">
              <w:rPr>
                <w:rFonts w:ascii="Arial" w:hAnsi="Arial" w:cs="Arial"/>
                <w:sz w:val="20"/>
              </w:rPr>
              <w:t xml:space="preserve"> and accompanied by a wide variety of other discomfort; so this outcome is not necessarily unexpected. However, more research must be performed to fully elucidate </w:t>
            </w:r>
            <w:proofErr w:type="spellStart"/>
            <w:r w:rsidR="00A773F6">
              <w:rPr>
                <w:rFonts w:ascii="Arial" w:hAnsi="Arial" w:cs="Arial"/>
                <w:sz w:val="20"/>
              </w:rPr>
              <w:t>Journavx’s</w:t>
            </w:r>
            <w:proofErr w:type="spellEnd"/>
            <w:r w:rsidR="00A773F6">
              <w:rPr>
                <w:rFonts w:ascii="Arial" w:hAnsi="Arial" w:cs="Arial"/>
                <w:sz w:val="20"/>
              </w:rPr>
              <w:t xml:space="preserve"> place in therapy i</w:t>
            </w:r>
            <w:r w:rsidR="00426A5F">
              <w:rPr>
                <w:rFonts w:ascii="Arial" w:hAnsi="Arial" w:cs="Arial"/>
                <w:sz w:val="20"/>
              </w:rPr>
              <w:t>n</w:t>
            </w:r>
            <w:r w:rsidR="00EF0540">
              <w:rPr>
                <w:rFonts w:ascii="Arial" w:hAnsi="Arial" w:cs="Arial"/>
                <w:sz w:val="20"/>
              </w:rPr>
              <w:t xml:space="preserve"> t</w:t>
            </w:r>
            <w:r w:rsidR="00426A5F">
              <w:rPr>
                <w:rFonts w:ascii="Arial" w:hAnsi="Arial" w:cs="Arial"/>
                <w:sz w:val="20"/>
              </w:rPr>
              <w:t>he</w:t>
            </w:r>
            <w:r w:rsidR="00A773F6">
              <w:rPr>
                <w:rFonts w:ascii="Arial" w:hAnsi="Arial" w:cs="Arial"/>
                <w:sz w:val="20"/>
              </w:rPr>
              <w:t xml:space="preserve"> range of well-established acute pain treatments currently available.</w:t>
            </w:r>
          </w:p>
          <w:p w14:paraId="5C3C78D7" w14:textId="77777777" w:rsidR="0012349D" w:rsidRDefault="0012349D" w:rsidP="0012349D">
            <w:pPr>
              <w:rPr>
                <w:rFonts w:ascii="Arial" w:hAnsi="Arial" w:cs="Arial"/>
                <w:sz w:val="20"/>
              </w:rPr>
            </w:pPr>
          </w:p>
          <w:p w14:paraId="5B7222DA" w14:textId="060D8C94" w:rsidR="006C0291" w:rsidRPr="006C0291" w:rsidRDefault="00643C91" w:rsidP="006C029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643C91">
              <w:rPr>
                <w:rFonts w:ascii="Arial" w:hAnsi="Arial" w:cs="Arial"/>
                <w:b/>
                <w:bCs/>
                <w:i/>
                <w:iCs/>
                <w:sz w:val="20"/>
              </w:rPr>
              <w:t>References:</w:t>
            </w:r>
          </w:p>
          <w:p w14:paraId="1DC12C3B" w14:textId="039D8283" w:rsidR="00104CBA" w:rsidRDefault="003C190F" w:rsidP="00104CB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Vertex Pharmaceuticals Incorporated</w:t>
            </w:r>
            <w:r w:rsidR="00104CBA" w:rsidRPr="009C74A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4CBA">
              <w:rPr>
                <w:rFonts w:ascii="Arial" w:hAnsi="Arial" w:cs="Arial"/>
                <w:sz w:val="20"/>
                <w:szCs w:val="20"/>
              </w:rPr>
              <w:t>Boston</w:t>
            </w:r>
            <w:r w:rsidR="00104CBA" w:rsidRPr="009C74AF">
              <w:rPr>
                <w:rFonts w:ascii="Arial" w:hAnsi="Arial" w:cs="Arial"/>
                <w:sz w:val="20"/>
                <w:szCs w:val="20"/>
              </w:rPr>
              <w:t xml:space="preserve">, MA.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Journavx</w:t>
            </w:r>
            <w:proofErr w:type="spellEnd"/>
            <w:r w:rsidR="00104CBA" w:rsidRPr="009C74AF">
              <w:rPr>
                <w:rFonts w:ascii="Arial" w:hAnsi="Arial" w:cs="Arial"/>
                <w:sz w:val="20"/>
                <w:szCs w:val="20"/>
              </w:rPr>
              <w:t xml:space="preserve"> [package insert]. U.S. Food and Drug Administration website.</w:t>
            </w:r>
            <w:r w:rsidR="00104CB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3674E0" w:rsidRPr="000A0E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https://www.accessdata.fda.gov/drugsatfda_docs/label/2025/219209s000lbl.pdf</w:t>
              </w:r>
            </w:hyperlink>
            <w:r w:rsidR="003674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E9F9E4" w14:textId="77777777" w:rsidR="006373ED" w:rsidRDefault="006373ED" w:rsidP="00104CB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373ED">
              <w:rPr>
                <w:rFonts w:ascii="Arial" w:hAnsi="Arial" w:cs="Arial"/>
                <w:sz w:val="20"/>
                <w:szCs w:val="20"/>
              </w:rPr>
              <w:t xml:space="preserve">Bertoch T, </w:t>
            </w:r>
            <w:proofErr w:type="spellStart"/>
            <w:r w:rsidRPr="006373ED">
              <w:rPr>
                <w:rFonts w:ascii="Arial" w:hAnsi="Arial" w:cs="Arial"/>
                <w:sz w:val="20"/>
                <w:szCs w:val="20"/>
              </w:rPr>
              <w:t>D'Aunno</w:t>
            </w:r>
            <w:proofErr w:type="spellEnd"/>
            <w:r w:rsidRPr="006373ED">
              <w:rPr>
                <w:rFonts w:ascii="Arial" w:hAnsi="Arial" w:cs="Arial"/>
                <w:sz w:val="20"/>
                <w:szCs w:val="20"/>
              </w:rPr>
              <w:t xml:space="preserve"> D, McCoun J, Solanki D, Taber L, Urban J, Oswald J, Swisher MW, Tian S, Miao X, Correll DJ, </w:t>
            </w:r>
            <w:proofErr w:type="spellStart"/>
            <w:r w:rsidRPr="006373ED">
              <w:rPr>
                <w:rFonts w:ascii="Arial" w:hAnsi="Arial" w:cs="Arial"/>
                <w:sz w:val="20"/>
                <w:szCs w:val="20"/>
              </w:rPr>
              <w:t>Negulescu</w:t>
            </w:r>
            <w:proofErr w:type="spellEnd"/>
            <w:r w:rsidRPr="006373ED">
              <w:rPr>
                <w:rFonts w:ascii="Arial" w:hAnsi="Arial" w:cs="Arial"/>
                <w:sz w:val="20"/>
                <w:szCs w:val="20"/>
              </w:rPr>
              <w:t xml:space="preserve"> P, Bozic C, Weiner SG. </w:t>
            </w:r>
            <w:proofErr w:type="spellStart"/>
            <w:r w:rsidRPr="006373ED">
              <w:rPr>
                <w:rFonts w:ascii="Arial" w:hAnsi="Arial" w:cs="Arial"/>
                <w:sz w:val="20"/>
                <w:szCs w:val="20"/>
              </w:rPr>
              <w:t>Suzetrigine</w:t>
            </w:r>
            <w:proofErr w:type="spellEnd"/>
            <w:r w:rsidRPr="006373ED">
              <w:rPr>
                <w:rFonts w:ascii="Arial" w:hAnsi="Arial" w:cs="Arial"/>
                <w:sz w:val="20"/>
                <w:szCs w:val="20"/>
              </w:rPr>
              <w:t xml:space="preserve">, a Nonopioid Na V 1.8 Inhibitor for Treatment of Moderate-to-severe Acute Pain: Two Phase 3 Randomized Clinical Trials. Anesthesiology. 2025 Jun 1;142(6):1085-1099. </w:t>
            </w:r>
            <w:proofErr w:type="spellStart"/>
            <w:r w:rsidRPr="006373E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6373ED">
              <w:rPr>
                <w:rFonts w:ascii="Arial" w:hAnsi="Arial" w:cs="Arial"/>
                <w:sz w:val="20"/>
                <w:szCs w:val="20"/>
              </w:rPr>
              <w:t xml:space="preserve">: 10.1097/ALN.0000000000005460. </w:t>
            </w:r>
            <w:proofErr w:type="spellStart"/>
            <w:r w:rsidRPr="006373ED">
              <w:rPr>
                <w:rFonts w:ascii="Arial" w:hAnsi="Arial" w:cs="Arial"/>
                <w:sz w:val="20"/>
                <w:szCs w:val="20"/>
              </w:rPr>
              <w:t>Epub</w:t>
            </w:r>
            <w:proofErr w:type="spellEnd"/>
            <w:r w:rsidRPr="006373ED">
              <w:rPr>
                <w:rFonts w:ascii="Arial" w:hAnsi="Arial" w:cs="Arial"/>
                <w:sz w:val="20"/>
                <w:szCs w:val="20"/>
              </w:rPr>
              <w:t xml:space="preserve"> 2025 Mar 21. PMID: 40117446; PMCID: PMC12061372.</w:t>
            </w:r>
          </w:p>
          <w:p w14:paraId="603382D4" w14:textId="77777777" w:rsidR="00426A5F" w:rsidRDefault="00144026" w:rsidP="009E2827">
            <w:pPr>
              <w:pStyle w:val="Quote"/>
              <w:spacing w:line="240" w:lineRule="auto"/>
              <w:jc w:val="center"/>
              <w:rPr>
                <w:rFonts w:ascii="Lucida Bright" w:hAnsi="Lucida Bright"/>
                <w:b/>
                <w:bCs/>
                <w:sz w:val="32"/>
                <w:szCs w:val="32"/>
              </w:rPr>
            </w:pPr>
            <w:r w:rsidRPr="00144026">
              <w:rPr>
                <w:rFonts w:ascii="Lucida Bright" w:hAnsi="Lucida Bright"/>
                <w:b/>
                <w:bCs/>
                <w:sz w:val="32"/>
                <w:szCs w:val="32"/>
              </w:rPr>
              <w:t>GUIDELINE UPDATES</w:t>
            </w:r>
          </w:p>
          <w:p w14:paraId="1383A047" w14:textId="655DF2AB" w:rsidR="00144026" w:rsidRPr="00144026" w:rsidRDefault="00C04A7B" w:rsidP="009E2827">
            <w:pPr>
              <w:pStyle w:val="Quote"/>
              <w:spacing w:line="240" w:lineRule="auto"/>
              <w:jc w:val="center"/>
              <w:rPr>
                <w:rFonts w:ascii="Lucida Bright" w:hAnsi="Lucida Bright"/>
                <w:b/>
                <w:bCs/>
                <w:sz w:val="32"/>
                <w:szCs w:val="32"/>
              </w:rPr>
            </w:pPr>
            <w:r>
              <w:rPr>
                <w:rFonts w:ascii="Lucida Bright" w:hAnsi="Lucida Bright"/>
                <w:b/>
                <w:bCs/>
                <w:sz w:val="32"/>
                <w:szCs w:val="32"/>
              </w:rPr>
              <w:t>ACP: Treatment and Prevention of Acute Episodic Migraines</w:t>
            </w:r>
          </w:p>
          <w:p w14:paraId="0BECB90C" w14:textId="3B19C121" w:rsidR="0013040F" w:rsidRDefault="00706713" w:rsidP="00706713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337CAF5" wp14:editId="3F8A5007">
                  <wp:extent cx="2879228" cy="1269447"/>
                  <wp:effectExtent l="0" t="0" r="0" b="6985"/>
                  <wp:docPr id="1127588367" name="Picture 3" descr="American College of Physicians unveil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merican College of Physicians unveil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931" cy="128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1AD48" w14:textId="5D7C7DA3" w:rsidR="004379C0" w:rsidRDefault="007F7F24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On February 4, 2025 and</w:t>
            </w:r>
            <w:r w:rsidR="002B0380">
              <w:rPr>
                <w:rFonts w:ascii="Arial" w:hAnsi="Arial" w:cs="Arial"/>
                <w:sz w:val="20"/>
              </w:rPr>
              <w:t xml:space="preserve"> March 18, 2025 respectively, the American College of Physicians (ACP) published two new </w:t>
            </w:r>
            <w:r w:rsidR="00047BAE">
              <w:rPr>
                <w:rFonts w:ascii="Arial" w:hAnsi="Arial" w:cs="Arial"/>
                <w:sz w:val="20"/>
              </w:rPr>
              <w:t>evidence-based clinical guidelines on the prevention and treatment of acute episodic migraines.</w:t>
            </w:r>
            <w:r w:rsidR="004F3744">
              <w:rPr>
                <w:rFonts w:ascii="Arial" w:hAnsi="Arial" w:cs="Arial"/>
                <w:sz w:val="20"/>
              </w:rPr>
              <w:t xml:space="preserve"> Of note, these documents distinguish the therapeutic approach from the prevention and treatment of chronic migraines by defining a diagnosis of episodic migraines as causing ≤14 headache days per month, while chronic migraines cause ≥15 headache days per month.</w:t>
            </w:r>
          </w:p>
          <w:p w14:paraId="491AAA42" w14:textId="23C9BD38" w:rsidR="005242F4" w:rsidRDefault="005242F4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guidelines for the </w:t>
            </w:r>
            <w:r w:rsidRPr="00513FC0">
              <w:rPr>
                <w:rFonts w:ascii="Arial" w:hAnsi="Arial" w:cs="Arial"/>
                <w:sz w:val="20"/>
                <w:u w:val="single"/>
              </w:rPr>
              <w:t>prevention of acute episodic migraines</w:t>
            </w:r>
            <w:r>
              <w:rPr>
                <w:rFonts w:ascii="Arial" w:hAnsi="Arial" w:cs="Arial"/>
                <w:sz w:val="20"/>
              </w:rPr>
              <w:t xml:space="preserve"> have three main recommendations</w:t>
            </w:r>
            <w:r w:rsidR="00272A81">
              <w:rPr>
                <w:rFonts w:ascii="Arial" w:hAnsi="Arial" w:cs="Arial"/>
                <w:sz w:val="20"/>
              </w:rPr>
              <w:t>:</w:t>
            </w:r>
          </w:p>
          <w:p w14:paraId="20701411" w14:textId="25C4E25F" w:rsidR="001C0953" w:rsidRDefault="001C0953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Recommendation 1: </w:t>
            </w:r>
            <w:r w:rsidR="00655EA9">
              <w:rPr>
                <w:rFonts w:ascii="Arial" w:hAnsi="Arial" w:cs="Arial"/>
                <w:sz w:val="20"/>
              </w:rPr>
              <w:t>Preventative m</w:t>
            </w:r>
            <w:r>
              <w:rPr>
                <w:rFonts w:ascii="Arial" w:hAnsi="Arial" w:cs="Arial"/>
                <w:sz w:val="20"/>
              </w:rPr>
              <w:t xml:space="preserve">onotherapy should be initiated in all nonpregnant adults </w:t>
            </w:r>
            <w:r w:rsidR="00655EA9">
              <w:rPr>
                <w:rFonts w:ascii="Arial" w:hAnsi="Arial" w:cs="Arial"/>
                <w:sz w:val="20"/>
              </w:rPr>
              <w:t xml:space="preserve">in outpatient settings with a history of episodic migraines. One of the following therapies may be utilized: </w:t>
            </w:r>
            <w:r w:rsidR="00C62A62">
              <w:rPr>
                <w:rFonts w:ascii="Arial" w:hAnsi="Arial" w:cs="Arial"/>
                <w:sz w:val="20"/>
              </w:rPr>
              <w:t>beta blocker (specifically metoprolol or propranolol), antiepileptic drug (specifically valproic acid or one of its derivatives),</w:t>
            </w:r>
            <w:r w:rsidR="001C025C">
              <w:rPr>
                <w:rFonts w:ascii="Arial" w:hAnsi="Arial" w:cs="Arial"/>
                <w:sz w:val="20"/>
              </w:rPr>
              <w:t xml:space="preserve"> SNRI (specifically venlafaxine), TCA (specifically amitriptyline).</w:t>
            </w:r>
          </w:p>
          <w:p w14:paraId="17321A90" w14:textId="7C6C3450" w:rsidR="001C025C" w:rsidRDefault="001C025C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Recommendation 2: </w:t>
            </w:r>
            <w:r w:rsidR="00DE30F1">
              <w:rPr>
                <w:rFonts w:ascii="Arial" w:hAnsi="Arial" w:cs="Arial"/>
                <w:sz w:val="20"/>
              </w:rPr>
              <w:t xml:space="preserve">For patients who do not tolerate or adequately respond to one of the above preventative therapies, </w:t>
            </w:r>
            <w:r w:rsidR="00383C3B">
              <w:rPr>
                <w:rFonts w:ascii="Arial" w:hAnsi="Arial" w:cs="Arial"/>
                <w:sz w:val="20"/>
              </w:rPr>
              <w:t>a calcitonin gene-related peptide (CGRP) antagonist (specifically atogepant or rimegepant)</w:t>
            </w:r>
            <w:r w:rsidR="003A16EB">
              <w:rPr>
                <w:rFonts w:ascii="Arial" w:hAnsi="Arial" w:cs="Arial"/>
                <w:sz w:val="20"/>
              </w:rPr>
              <w:t xml:space="preserve"> or a CGRP monoclonal antibody </w:t>
            </w:r>
            <w:r w:rsidR="00E758FA">
              <w:rPr>
                <w:rFonts w:ascii="Arial" w:hAnsi="Arial" w:cs="Arial"/>
                <w:sz w:val="20"/>
              </w:rPr>
              <w:t>should be initiated in nonpregnant adults in outpatient settings with a history of episodic migraines</w:t>
            </w:r>
            <w:r w:rsidR="005531DF">
              <w:rPr>
                <w:rFonts w:ascii="Arial" w:hAnsi="Arial" w:cs="Arial"/>
                <w:sz w:val="20"/>
              </w:rPr>
              <w:t>.</w:t>
            </w:r>
          </w:p>
          <w:p w14:paraId="09ACCD09" w14:textId="05723706" w:rsidR="005531DF" w:rsidRDefault="005531DF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Recommendation 3: </w:t>
            </w:r>
            <w:r>
              <w:rPr>
                <w:rFonts w:ascii="Arial" w:hAnsi="Arial" w:cs="Arial"/>
                <w:sz w:val="20"/>
              </w:rPr>
              <w:t xml:space="preserve">For patients who do not tolerate or adequately respond to one of the above CGRP therapies, topiramate should be initiated in nonpregnant adults in outpatient settings with a history of episodic migraines. </w:t>
            </w:r>
          </w:p>
          <w:p w14:paraId="308BA58A" w14:textId="3C8B90E8" w:rsidR="00513FC0" w:rsidRDefault="00CF2F11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For </w:t>
            </w:r>
            <w:r w:rsidR="000C2A6B">
              <w:rPr>
                <w:rFonts w:ascii="Arial" w:hAnsi="Arial" w:cs="Arial"/>
                <w:sz w:val="20"/>
              </w:rPr>
              <w:t xml:space="preserve">the active </w:t>
            </w:r>
            <w:r w:rsidR="000C2A6B" w:rsidRPr="00513FC0">
              <w:rPr>
                <w:rFonts w:ascii="Arial" w:hAnsi="Arial" w:cs="Arial"/>
                <w:sz w:val="20"/>
                <w:u w:val="single"/>
              </w:rPr>
              <w:t>treatment of acute episodic migraines</w:t>
            </w:r>
            <w:r w:rsidR="000C2A6B">
              <w:rPr>
                <w:rFonts w:ascii="Arial" w:hAnsi="Arial" w:cs="Arial"/>
                <w:sz w:val="20"/>
              </w:rPr>
              <w:t>, the ACP guidelin</w:t>
            </w:r>
            <w:r w:rsidR="00513FC0">
              <w:rPr>
                <w:rFonts w:ascii="Arial" w:hAnsi="Arial" w:cs="Arial"/>
                <w:sz w:val="20"/>
              </w:rPr>
              <w:t>es have two main recommendations</w:t>
            </w:r>
            <w:r w:rsidR="0083404B">
              <w:rPr>
                <w:rFonts w:ascii="Arial" w:hAnsi="Arial" w:cs="Arial"/>
                <w:sz w:val="20"/>
              </w:rPr>
              <w:t>, depending on which over-the-counter therapy is initially used to treat the active migraine</w:t>
            </w:r>
            <w:r w:rsidR="00513FC0">
              <w:rPr>
                <w:rFonts w:ascii="Arial" w:hAnsi="Arial" w:cs="Arial"/>
                <w:sz w:val="20"/>
              </w:rPr>
              <w:t>:</w:t>
            </w:r>
          </w:p>
          <w:p w14:paraId="424FF733" w14:textId="77777777" w:rsidR="00722600" w:rsidRDefault="00513FC0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Recommendation 1: </w:t>
            </w:r>
            <w:r w:rsidR="00BF5F88">
              <w:rPr>
                <w:rFonts w:ascii="Arial" w:hAnsi="Arial" w:cs="Arial"/>
                <w:sz w:val="20"/>
              </w:rPr>
              <w:t>For patients who do not adequately respond to</w:t>
            </w:r>
            <w:r w:rsidR="0012209E">
              <w:rPr>
                <w:rFonts w:ascii="Arial" w:hAnsi="Arial" w:cs="Arial"/>
                <w:sz w:val="20"/>
              </w:rPr>
              <w:t xml:space="preserve"> </w:t>
            </w:r>
            <w:r w:rsidR="0012209E">
              <w:rPr>
                <w:rFonts w:ascii="Arial" w:hAnsi="Arial" w:cs="Arial"/>
                <w:sz w:val="20"/>
              </w:rPr>
              <w:t>nonsteroidal anti-inflammatory drug (NSAID)</w:t>
            </w:r>
            <w:r w:rsidR="00722600">
              <w:rPr>
                <w:rFonts w:ascii="Arial" w:hAnsi="Arial" w:cs="Arial"/>
                <w:sz w:val="20"/>
              </w:rPr>
              <w:t>, a</w:t>
            </w:r>
            <w:r w:rsidR="00364C2C">
              <w:rPr>
                <w:rFonts w:ascii="Arial" w:hAnsi="Arial" w:cs="Arial"/>
                <w:sz w:val="20"/>
              </w:rPr>
              <w:t xml:space="preserve"> combination of a triptan and a</w:t>
            </w:r>
            <w:r w:rsidR="00722600">
              <w:rPr>
                <w:rFonts w:ascii="Arial" w:hAnsi="Arial" w:cs="Arial"/>
                <w:sz w:val="20"/>
              </w:rPr>
              <w:t xml:space="preserve">n NSAID </w:t>
            </w:r>
            <w:r w:rsidR="00364C2C">
              <w:rPr>
                <w:rFonts w:ascii="Arial" w:hAnsi="Arial" w:cs="Arial"/>
                <w:sz w:val="20"/>
              </w:rPr>
              <w:t xml:space="preserve">should be </w:t>
            </w:r>
            <w:r w:rsidR="00BF5F88">
              <w:rPr>
                <w:rFonts w:ascii="Arial" w:hAnsi="Arial" w:cs="Arial"/>
                <w:sz w:val="20"/>
              </w:rPr>
              <w:t>initiated in nonpregnant adults in outpatient settings</w:t>
            </w:r>
            <w:r w:rsidR="0012209E">
              <w:rPr>
                <w:rFonts w:ascii="Arial" w:hAnsi="Arial" w:cs="Arial"/>
                <w:sz w:val="20"/>
              </w:rPr>
              <w:t xml:space="preserve"> with active moderate to severe acute episodic migraines. </w:t>
            </w:r>
          </w:p>
          <w:p w14:paraId="11185D2B" w14:textId="77777777" w:rsidR="00632AF7" w:rsidRDefault="00722600" w:rsidP="00104CBA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Recommendation 2: </w:t>
            </w:r>
            <w:r>
              <w:rPr>
                <w:rFonts w:ascii="Arial" w:hAnsi="Arial" w:cs="Arial"/>
                <w:sz w:val="20"/>
              </w:rPr>
              <w:t xml:space="preserve">For patients </w:t>
            </w:r>
            <w:r w:rsidR="0083404B">
              <w:rPr>
                <w:rFonts w:ascii="Arial" w:hAnsi="Arial" w:cs="Arial"/>
                <w:sz w:val="20"/>
              </w:rPr>
              <w:t>who do not adequately respond to acetaminophen, a combination of a triptan and acetaminophen should be initiated in nonpregnant adults in outpatient settings with active moderate to severe acute episodic migraines.</w:t>
            </w:r>
          </w:p>
          <w:p w14:paraId="5368B0F9" w14:textId="3CD047F7" w:rsidR="00A808F3" w:rsidRPr="003B044E" w:rsidRDefault="00632AF7" w:rsidP="003B044E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 note, these recommendations do not distinguish between preferred and non-preferred triptans or NSAID therapies.</w:t>
            </w:r>
            <w:r w:rsidR="003B044E">
              <w:rPr>
                <w:rFonts w:ascii="Arial" w:hAnsi="Arial" w:cs="Arial"/>
                <w:sz w:val="20"/>
              </w:rPr>
              <w:t xml:space="preserve"> Also, as neither documents gives guidance for specific dosing of any therapy, they recommend that any treatment or preventative medication be initiated at the lowest effective dose.</w:t>
            </w:r>
            <w:r>
              <w:rPr>
                <w:rFonts w:ascii="Arial" w:hAnsi="Arial" w:cs="Arial"/>
                <w:sz w:val="20"/>
              </w:rPr>
              <w:t xml:space="preserve"> Both of the guidelines only contain recommendations for nonpregnant and nonlactating adults in outpatient settings. Patie</w:t>
            </w:r>
            <w:r w:rsidR="00A23E33">
              <w:rPr>
                <w:rFonts w:ascii="Arial" w:hAnsi="Arial" w:cs="Arial"/>
                <w:sz w:val="20"/>
              </w:rPr>
              <w:t>nts who require emergent-level care are not included in these recommendations.</w:t>
            </w:r>
            <w:r w:rsidR="008E7B70">
              <w:rPr>
                <w:rFonts w:ascii="Arial" w:hAnsi="Arial" w:cs="Arial"/>
                <w:sz w:val="20"/>
              </w:rPr>
              <w:t xml:space="preserve"> Additionally, the guidelines emphasize the importance of nonpharmacologic care, such as trigger identification and avoidance</w:t>
            </w:r>
            <w:r w:rsidR="003B044E">
              <w:rPr>
                <w:rFonts w:ascii="Arial" w:hAnsi="Arial" w:cs="Arial"/>
                <w:sz w:val="20"/>
              </w:rPr>
              <w:t>.</w:t>
            </w:r>
            <w:r w:rsidR="00513FC0">
              <w:rPr>
                <w:rFonts w:ascii="Arial" w:hAnsi="Arial" w:cs="Arial"/>
                <w:sz w:val="20"/>
              </w:rPr>
              <w:br/>
            </w:r>
          </w:p>
          <w:p w14:paraId="5D1D8EB2" w14:textId="725A2FCC" w:rsidR="003F6B34" w:rsidRPr="003F6B34" w:rsidRDefault="003F6B34" w:rsidP="00725A6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643C91">
              <w:rPr>
                <w:rFonts w:ascii="Arial" w:hAnsi="Arial" w:cs="Arial"/>
                <w:b/>
                <w:bCs/>
                <w:i/>
                <w:iCs/>
                <w:sz w:val="20"/>
              </w:rPr>
              <w:t>References:</w:t>
            </w:r>
          </w:p>
          <w:p w14:paraId="27423522" w14:textId="6677BA31" w:rsidR="008B1597" w:rsidRDefault="008B1597" w:rsidP="00104CB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B1597">
              <w:rPr>
                <w:rFonts w:ascii="Arial" w:hAnsi="Arial" w:cs="Arial"/>
                <w:sz w:val="20"/>
                <w:szCs w:val="20"/>
              </w:rPr>
              <w:t xml:space="preserve">Qaseem A, Cooney TG, </w:t>
            </w:r>
            <w:proofErr w:type="spellStart"/>
            <w:r w:rsidRPr="008B1597">
              <w:rPr>
                <w:rFonts w:ascii="Arial" w:hAnsi="Arial" w:cs="Arial"/>
                <w:sz w:val="20"/>
                <w:szCs w:val="20"/>
              </w:rPr>
              <w:t>Etxeandia-Ikobaltzeta</w:t>
            </w:r>
            <w:proofErr w:type="spellEnd"/>
            <w:r w:rsidRPr="008B1597">
              <w:rPr>
                <w:rFonts w:ascii="Arial" w:hAnsi="Arial" w:cs="Arial"/>
                <w:sz w:val="20"/>
                <w:szCs w:val="20"/>
              </w:rPr>
              <w:t xml:space="preserve"> I, Wilt TJ, Harrod CS, Tice JA, Crandall CJ; Clinical Guidelines Committee of the American College of Physicians; Hicks LA, Cross JT Jr, Fitterman N, Lewis J, Linsky AM, Maroto M, Miller MC, Obley AJ, Owens DK, </w:t>
            </w:r>
            <w:proofErr w:type="spellStart"/>
            <w:r w:rsidRPr="008B1597">
              <w:rPr>
                <w:rFonts w:ascii="Arial" w:hAnsi="Arial" w:cs="Arial"/>
                <w:sz w:val="20"/>
                <w:szCs w:val="20"/>
              </w:rPr>
              <w:t>Shekelle</w:t>
            </w:r>
            <w:proofErr w:type="spellEnd"/>
            <w:r w:rsidRPr="008B1597">
              <w:rPr>
                <w:rFonts w:ascii="Arial" w:hAnsi="Arial" w:cs="Arial"/>
                <w:sz w:val="20"/>
                <w:szCs w:val="20"/>
              </w:rPr>
              <w:t xml:space="preserve"> PG, </w:t>
            </w:r>
            <w:proofErr w:type="spellStart"/>
            <w:r w:rsidRPr="008B1597">
              <w:rPr>
                <w:rFonts w:ascii="Arial" w:hAnsi="Arial" w:cs="Arial"/>
                <w:sz w:val="20"/>
                <w:szCs w:val="20"/>
              </w:rPr>
              <w:t>Shamliyan</w:t>
            </w:r>
            <w:proofErr w:type="spellEnd"/>
            <w:r w:rsidRPr="008B1597">
              <w:rPr>
                <w:rFonts w:ascii="Arial" w:hAnsi="Arial" w:cs="Arial"/>
                <w:sz w:val="20"/>
                <w:szCs w:val="20"/>
              </w:rPr>
              <w:t xml:space="preserve"> T, Yost J. Prevention of Episodic Migraine Headache Using Pharmacologic Treatments in Outpatient Settings: A Clinical Guideline From the American College of Physicians. Ann Intern Med. 2025 Mar;178(3):426-433. </w:t>
            </w:r>
            <w:proofErr w:type="spellStart"/>
            <w:r w:rsidRPr="008B1597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8B1597">
              <w:rPr>
                <w:rFonts w:ascii="Arial" w:hAnsi="Arial" w:cs="Arial"/>
                <w:sz w:val="20"/>
                <w:szCs w:val="20"/>
              </w:rPr>
              <w:t xml:space="preserve">: 10.7326/ANNALS-24-01052. </w:t>
            </w:r>
            <w:proofErr w:type="spellStart"/>
            <w:r w:rsidRPr="008B1597">
              <w:rPr>
                <w:rFonts w:ascii="Arial" w:hAnsi="Arial" w:cs="Arial"/>
                <w:sz w:val="20"/>
                <w:szCs w:val="20"/>
              </w:rPr>
              <w:t>Epub</w:t>
            </w:r>
            <w:proofErr w:type="spellEnd"/>
            <w:r w:rsidRPr="008B1597">
              <w:rPr>
                <w:rFonts w:ascii="Arial" w:hAnsi="Arial" w:cs="Arial"/>
                <w:sz w:val="20"/>
                <w:szCs w:val="20"/>
              </w:rPr>
              <w:t xml:space="preserve"> 2025 Feb 4. Erratum in: Ann Intern Med. 2025 Jul 22. </w:t>
            </w:r>
            <w:proofErr w:type="spellStart"/>
            <w:r w:rsidRPr="008B1597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8B1597">
              <w:rPr>
                <w:rFonts w:ascii="Arial" w:hAnsi="Arial" w:cs="Arial"/>
                <w:sz w:val="20"/>
                <w:szCs w:val="20"/>
              </w:rPr>
              <w:t>: 10.7326/ANNALS-25-03082. PMID: 39899861.</w:t>
            </w:r>
          </w:p>
          <w:p w14:paraId="5788A454" w14:textId="78A32EAA" w:rsidR="00672B71" w:rsidRDefault="00672B71" w:rsidP="00104CB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72B71">
              <w:rPr>
                <w:rFonts w:ascii="Arial" w:hAnsi="Arial" w:cs="Arial"/>
                <w:sz w:val="20"/>
                <w:szCs w:val="20"/>
              </w:rPr>
              <w:lastRenderedPageBreak/>
              <w:t xml:space="preserve">Qaseem A, Tice JA, </w:t>
            </w:r>
            <w:proofErr w:type="spellStart"/>
            <w:r w:rsidRPr="00672B71">
              <w:rPr>
                <w:rFonts w:ascii="Arial" w:hAnsi="Arial" w:cs="Arial"/>
                <w:sz w:val="20"/>
                <w:szCs w:val="20"/>
              </w:rPr>
              <w:t>Etxeandia-Ikobaltzeta</w:t>
            </w:r>
            <w:proofErr w:type="spellEnd"/>
            <w:r w:rsidRPr="00672B71">
              <w:rPr>
                <w:rFonts w:ascii="Arial" w:hAnsi="Arial" w:cs="Arial"/>
                <w:sz w:val="20"/>
                <w:szCs w:val="20"/>
              </w:rPr>
              <w:t xml:space="preserve"> I, Wilt TJ, Harrod CS, Cooney TG, Crandall CJ; Clinical Guidelines Committee of the American College of Physicians; Hicks LA, Balk E, Cross JT Jr, Fitterman N, Lewis J, Linsky AM, Maroto M, Miller MC, Obley AJ, Owens DK, </w:t>
            </w:r>
            <w:proofErr w:type="spellStart"/>
            <w:r w:rsidRPr="00672B71">
              <w:rPr>
                <w:rFonts w:ascii="Arial" w:hAnsi="Arial" w:cs="Arial"/>
                <w:sz w:val="20"/>
                <w:szCs w:val="20"/>
              </w:rPr>
              <w:t>Shekelle</w:t>
            </w:r>
            <w:proofErr w:type="spellEnd"/>
            <w:r w:rsidRPr="00672B71">
              <w:rPr>
                <w:rFonts w:ascii="Arial" w:hAnsi="Arial" w:cs="Arial"/>
                <w:sz w:val="20"/>
                <w:szCs w:val="20"/>
              </w:rPr>
              <w:t xml:space="preserve"> PG, </w:t>
            </w:r>
            <w:proofErr w:type="spellStart"/>
            <w:r w:rsidRPr="00672B71">
              <w:rPr>
                <w:rFonts w:ascii="Arial" w:hAnsi="Arial" w:cs="Arial"/>
                <w:sz w:val="20"/>
                <w:szCs w:val="20"/>
              </w:rPr>
              <w:t>Shamliyan</w:t>
            </w:r>
            <w:proofErr w:type="spellEnd"/>
            <w:r w:rsidRPr="00672B71">
              <w:rPr>
                <w:rFonts w:ascii="Arial" w:hAnsi="Arial" w:cs="Arial"/>
                <w:sz w:val="20"/>
                <w:szCs w:val="20"/>
              </w:rPr>
              <w:t xml:space="preserve"> T, Yost J. Pharmacologic Treatments of Acute Episodic Migraine Headache in Outpatient Settings: A Clinical Guideline From the American College of Physicians. Ann Intern Med. 2025 Apr;178(4):571-578. </w:t>
            </w:r>
            <w:proofErr w:type="spellStart"/>
            <w:r w:rsidRPr="00672B71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672B71">
              <w:rPr>
                <w:rFonts w:ascii="Arial" w:hAnsi="Arial" w:cs="Arial"/>
                <w:sz w:val="20"/>
                <w:szCs w:val="20"/>
              </w:rPr>
              <w:t xml:space="preserve">: 10.7326/ANNALS-24-03095. </w:t>
            </w:r>
            <w:proofErr w:type="spellStart"/>
            <w:r w:rsidRPr="00672B71">
              <w:rPr>
                <w:rFonts w:ascii="Arial" w:hAnsi="Arial" w:cs="Arial"/>
                <w:sz w:val="20"/>
                <w:szCs w:val="20"/>
              </w:rPr>
              <w:t>Epub</w:t>
            </w:r>
            <w:proofErr w:type="spellEnd"/>
            <w:r w:rsidRPr="00672B71">
              <w:rPr>
                <w:rFonts w:ascii="Arial" w:hAnsi="Arial" w:cs="Arial"/>
                <w:sz w:val="20"/>
                <w:szCs w:val="20"/>
              </w:rPr>
              <w:t xml:space="preserve"> 2025 Mar 18. PMID: 40096690.</w:t>
            </w:r>
          </w:p>
          <w:p w14:paraId="3CD95B4F" w14:textId="77777777" w:rsidR="00426A5F" w:rsidRDefault="00144026" w:rsidP="00F60841">
            <w:pPr>
              <w:pStyle w:val="Quote"/>
              <w:spacing w:line="240" w:lineRule="auto"/>
              <w:jc w:val="center"/>
              <w:rPr>
                <w:rFonts w:ascii="Lucida Bright" w:hAnsi="Lucida Bright"/>
                <w:b/>
                <w:bCs/>
                <w:sz w:val="32"/>
                <w:szCs w:val="32"/>
              </w:rPr>
            </w:pPr>
            <w:r w:rsidRPr="00144026">
              <w:rPr>
                <w:rFonts w:ascii="Lucida Bright" w:hAnsi="Lucida Bright"/>
                <w:b/>
                <w:bCs/>
                <w:sz w:val="32"/>
                <w:szCs w:val="32"/>
              </w:rPr>
              <w:t>LEGISLATIVE NEWS</w:t>
            </w:r>
          </w:p>
          <w:p w14:paraId="6FD4109E" w14:textId="3FC83384" w:rsidR="00144026" w:rsidRPr="00F60841" w:rsidRDefault="00C04A7B" w:rsidP="00F60841">
            <w:pPr>
              <w:pStyle w:val="Quote"/>
              <w:spacing w:line="240" w:lineRule="auto"/>
              <w:jc w:val="center"/>
              <w:rPr>
                <w:rFonts w:ascii="Lucida Bright" w:hAnsi="Lucida Bright"/>
                <w:b/>
                <w:bCs/>
                <w:sz w:val="32"/>
                <w:szCs w:val="32"/>
              </w:rPr>
            </w:pPr>
            <w:r>
              <w:rPr>
                <w:rFonts w:ascii="Lucida Bright" w:hAnsi="Lucida Bright"/>
                <w:b/>
                <w:bCs/>
                <w:sz w:val="32"/>
                <w:szCs w:val="32"/>
              </w:rPr>
              <w:t>Consolidations Appropriations Act (Sec. 203)</w:t>
            </w:r>
          </w:p>
          <w:p w14:paraId="2585422E" w14:textId="4489FD40" w:rsidR="00DE6E60" w:rsidRDefault="002C3FBC" w:rsidP="002C3FBC">
            <w:pPr>
              <w:rPr>
                <w:rFonts w:ascii="Arial" w:hAnsi="Arial" w:cs="Arial"/>
                <w:sz w:val="20"/>
              </w:rPr>
            </w:pPr>
            <w:r w:rsidRPr="0014402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448291" wp14:editId="481F0AD6">
                  <wp:simplePos x="0" y="0"/>
                  <wp:positionH relativeFrom="column">
                    <wp:posOffset>54698</wp:posOffset>
                  </wp:positionH>
                  <wp:positionV relativeFrom="paragraph">
                    <wp:posOffset>59785</wp:posOffset>
                  </wp:positionV>
                  <wp:extent cx="1466850" cy="1577975"/>
                  <wp:effectExtent l="0" t="0" r="0" b="0"/>
                  <wp:wrapSquare wrapText="bothSides"/>
                  <wp:docPr id="23" name="Picture 23" descr="Legal Services | ASU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egal Services | ASU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4026" w:rsidRPr="00144026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104CBA">
              <w:rPr>
                <w:rFonts w:ascii="Arial" w:hAnsi="Arial" w:cs="Arial"/>
                <w:sz w:val="20"/>
              </w:rPr>
              <w:t xml:space="preserve">On </w:t>
            </w:r>
            <w:r w:rsidR="00676695">
              <w:rPr>
                <w:rFonts w:ascii="Arial" w:hAnsi="Arial" w:cs="Arial"/>
                <w:sz w:val="20"/>
              </w:rPr>
              <w:t xml:space="preserve">March 9, 2024, the Consolidated Appropriations Act </w:t>
            </w:r>
            <w:r w:rsidR="008A5283">
              <w:rPr>
                <w:rFonts w:ascii="Arial" w:hAnsi="Arial" w:cs="Arial"/>
                <w:sz w:val="20"/>
              </w:rPr>
              <w:t xml:space="preserve">(CAA 2024) </w:t>
            </w:r>
            <w:r w:rsidR="00676695">
              <w:rPr>
                <w:rFonts w:ascii="Arial" w:hAnsi="Arial" w:cs="Arial"/>
                <w:sz w:val="20"/>
              </w:rPr>
              <w:t>was enacted</w:t>
            </w:r>
            <w:r w:rsidR="009B5D87">
              <w:rPr>
                <w:rFonts w:ascii="Arial" w:hAnsi="Arial" w:cs="Arial"/>
                <w:sz w:val="20"/>
              </w:rPr>
              <w:t>. This act covers several federal agencies but specifically targets</w:t>
            </w:r>
            <w:r w:rsidR="00A36852">
              <w:rPr>
                <w:rFonts w:ascii="Arial" w:hAnsi="Arial" w:cs="Arial"/>
                <w:sz w:val="20"/>
              </w:rPr>
              <w:t xml:space="preserve"> </w:t>
            </w:r>
            <w:r w:rsidR="008A5283">
              <w:rPr>
                <w:rFonts w:ascii="Arial" w:hAnsi="Arial" w:cs="Arial"/>
                <w:sz w:val="20"/>
              </w:rPr>
              <w:t xml:space="preserve">state </w:t>
            </w:r>
            <w:r w:rsidR="00A36852">
              <w:rPr>
                <w:rFonts w:ascii="Arial" w:hAnsi="Arial" w:cs="Arial"/>
                <w:sz w:val="20"/>
              </w:rPr>
              <w:t>Medicaid</w:t>
            </w:r>
            <w:r w:rsidR="008A5283">
              <w:rPr>
                <w:rFonts w:ascii="Arial" w:hAnsi="Arial" w:cs="Arial"/>
                <w:sz w:val="20"/>
              </w:rPr>
              <w:t xml:space="preserve"> programs</w:t>
            </w:r>
            <w:r w:rsidR="00A36852">
              <w:rPr>
                <w:rFonts w:ascii="Arial" w:hAnsi="Arial" w:cs="Arial"/>
                <w:sz w:val="20"/>
              </w:rPr>
              <w:t xml:space="preserve"> and Children’s Health Insurance Program</w:t>
            </w:r>
            <w:r w:rsidR="008A5283">
              <w:rPr>
                <w:rFonts w:ascii="Arial" w:hAnsi="Arial" w:cs="Arial"/>
                <w:sz w:val="20"/>
              </w:rPr>
              <w:t>s</w:t>
            </w:r>
            <w:r w:rsidR="00A36852">
              <w:rPr>
                <w:rFonts w:ascii="Arial" w:hAnsi="Arial" w:cs="Arial"/>
                <w:sz w:val="20"/>
              </w:rPr>
              <w:t xml:space="preserve"> (CHIP) with several provisions. </w:t>
            </w:r>
            <w:r w:rsidR="00DE6E60">
              <w:rPr>
                <w:rFonts w:ascii="Arial" w:hAnsi="Arial" w:cs="Arial"/>
                <w:sz w:val="20"/>
              </w:rPr>
              <w:t>These provisions focus mainly on mental health and substance use disorder</w:t>
            </w:r>
            <w:r w:rsidR="004E2C1C">
              <w:rPr>
                <w:rFonts w:ascii="Arial" w:hAnsi="Arial" w:cs="Arial"/>
                <w:sz w:val="20"/>
              </w:rPr>
              <w:t xml:space="preserve"> (SUD)</w:t>
            </w:r>
            <w:r w:rsidR="00DE6E60">
              <w:rPr>
                <w:rFonts w:ascii="Arial" w:hAnsi="Arial" w:cs="Arial"/>
                <w:sz w:val="20"/>
              </w:rPr>
              <w:t>.</w:t>
            </w:r>
            <w:r w:rsidR="008A5283">
              <w:rPr>
                <w:rFonts w:ascii="Arial" w:hAnsi="Arial" w:cs="Arial"/>
                <w:sz w:val="20"/>
              </w:rPr>
              <w:t xml:space="preserve"> </w:t>
            </w:r>
            <w:r w:rsidR="00C43499">
              <w:rPr>
                <w:rFonts w:ascii="Arial" w:hAnsi="Arial" w:cs="Arial"/>
                <w:sz w:val="20"/>
              </w:rPr>
              <w:t>F</w:t>
            </w:r>
            <w:r w:rsidR="008A5283">
              <w:rPr>
                <w:rFonts w:ascii="Arial" w:hAnsi="Arial" w:cs="Arial"/>
                <w:sz w:val="20"/>
              </w:rPr>
              <w:t>or example</w:t>
            </w:r>
            <w:r w:rsidR="00C43499">
              <w:rPr>
                <w:rFonts w:ascii="Arial" w:hAnsi="Arial" w:cs="Arial"/>
                <w:sz w:val="20"/>
              </w:rPr>
              <w:t xml:space="preserve">, CAA 2024 requires the Health and Human Services (HHS) secretary to annually publish all Medicaid and CHIP services </w:t>
            </w:r>
            <w:r w:rsidR="004E2C1C">
              <w:rPr>
                <w:rFonts w:ascii="Arial" w:hAnsi="Arial" w:cs="Arial"/>
                <w:sz w:val="20"/>
              </w:rPr>
              <w:t>covering mental health and SUD to their members.</w:t>
            </w:r>
            <w:r w:rsidR="0089452A">
              <w:rPr>
                <w:rFonts w:ascii="Arial" w:hAnsi="Arial" w:cs="Arial"/>
                <w:sz w:val="20"/>
              </w:rPr>
              <w:t xml:space="preserve"> It also expands Medicaid coverage to </w:t>
            </w:r>
            <w:r w:rsidR="00990A4F">
              <w:rPr>
                <w:rFonts w:ascii="Arial" w:hAnsi="Arial" w:cs="Arial"/>
                <w:sz w:val="20"/>
              </w:rPr>
              <w:t>psychiatric patients residing in eligible institutions for mental diseases</w:t>
            </w:r>
            <w:r w:rsidR="000D1C18">
              <w:rPr>
                <w:rFonts w:ascii="Arial" w:hAnsi="Arial" w:cs="Arial"/>
                <w:sz w:val="20"/>
              </w:rPr>
              <w:t xml:space="preserve"> and incarcerated </w:t>
            </w:r>
            <w:r w:rsidR="00476143">
              <w:rPr>
                <w:rFonts w:ascii="Arial" w:hAnsi="Arial" w:cs="Arial"/>
                <w:sz w:val="20"/>
              </w:rPr>
              <w:t>patients.</w:t>
            </w:r>
          </w:p>
          <w:p w14:paraId="4E18C033" w14:textId="696FD755" w:rsidR="008A5283" w:rsidRDefault="008A5283" w:rsidP="002C3F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Specific to Medicaid Drug Utilization Review (DUR), CAA 2024</w:t>
            </w:r>
            <w:r w:rsidR="00F41442">
              <w:rPr>
                <w:rFonts w:ascii="Arial" w:hAnsi="Arial" w:cs="Arial"/>
                <w:sz w:val="20"/>
              </w:rPr>
              <w:t xml:space="preserve"> requires more thorough </w:t>
            </w:r>
            <w:r w:rsidR="00F36D69">
              <w:rPr>
                <w:rFonts w:ascii="Arial" w:hAnsi="Arial" w:cs="Arial"/>
                <w:sz w:val="20"/>
              </w:rPr>
              <w:t>review of antipsychotic use and monitoring for adult members in institutional setting</w:t>
            </w:r>
            <w:r w:rsidR="0089452A">
              <w:rPr>
                <w:rFonts w:ascii="Arial" w:hAnsi="Arial" w:cs="Arial"/>
                <w:sz w:val="20"/>
              </w:rPr>
              <w:t xml:space="preserve">s. </w:t>
            </w:r>
            <w:r w:rsidR="00476143">
              <w:rPr>
                <w:rFonts w:ascii="Arial" w:hAnsi="Arial" w:cs="Arial"/>
                <w:sz w:val="20"/>
              </w:rPr>
              <w:t xml:space="preserve">Starting in 2026, state Medicaid programs will be required </w:t>
            </w:r>
            <w:r w:rsidR="003E0448">
              <w:rPr>
                <w:rFonts w:ascii="Arial" w:hAnsi="Arial" w:cs="Arial"/>
                <w:sz w:val="20"/>
              </w:rPr>
              <w:t xml:space="preserve">to perform </w:t>
            </w:r>
            <w:r w:rsidR="0078525B">
              <w:rPr>
                <w:rFonts w:ascii="Arial" w:hAnsi="Arial" w:cs="Arial"/>
                <w:sz w:val="20"/>
              </w:rPr>
              <w:t xml:space="preserve">reviews through DURB programs for antipsychotic use in all adults receiving home-based and community-based services or </w:t>
            </w:r>
            <w:r w:rsidR="008743D8">
              <w:rPr>
                <w:rFonts w:ascii="Arial" w:hAnsi="Arial" w:cs="Arial"/>
                <w:sz w:val="20"/>
              </w:rPr>
              <w:t>institutional care. Previously, states were only required to review antipsychotic use in pediatric members through the SUPPORT Act</w:t>
            </w:r>
            <w:r w:rsidR="00782A28">
              <w:rPr>
                <w:rFonts w:ascii="Arial" w:hAnsi="Arial" w:cs="Arial"/>
                <w:sz w:val="20"/>
              </w:rPr>
              <w:t>.</w:t>
            </w:r>
          </w:p>
          <w:p w14:paraId="069E2ADA" w14:textId="49A5264D" w:rsidR="00782A28" w:rsidRDefault="00782A28" w:rsidP="002C3F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There is little guidance as to what specific monitoring parameters will be required. Additionally, some DURB programs may have difficulty isolating patients in institutional care settings for the purposes of a retrospective intervention, due to the formatting of claims data received. </w:t>
            </w:r>
            <w:r w:rsidR="00F50423">
              <w:rPr>
                <w:rFonts w:ascii="Arial" w:hAnsi="Arial" w:cs="Arial"/>
                <w:sz w:val="20"/>
              </w:rPr>
              <w:t>From a retrospective drug utilization review (RDUR) perspective, interventions may target overutilization/underutilization of antipsychotics, appropriate</w:t>
            </w:r>
            <w:r w:rsidR="00B02AE9">
              <w:rPr>
                <w:rFonts w:ascii="Arial" w:hAnsi="Arial" w:cs="Arial"/>
                <w:sz w:val="20"/>
              </w:rPr>
              <w:t xml:space="preserve"> monitoring of adverse drug events, duplicate antipsychotic therapy, etc. It remains to be seen how the Centers for Medicare and Medicaid Services (CMS) will enforce th</w:t>
            </w:r>
            <w:r w:rsidR="00291D14">
              <w:rPr>
                <w:rFonts w:ascii="Arial" w:hAnsi="Arial" w:cs="Arial"/>
                <w:sz w:val="20"/>
              </w:rPr>
              <w:t>is particular legislation, but the expectation is that further guidance will be published as the deadline for initiating these services nears.</w:t>
            </w:r>
          </w:p>
          <w:p w14:paraId="5577BDE4" w14:textId="77777777" w:rsidR="003312EE" w:rsidRDefault="003312EE" w:rsidP="003312EE">
            <w:pPr>
              <w:rPr>
                <w:rFonts w:ascii="Arial" w:hAnsi="Arial" w:cs="Arial"/>
                <w:sz w:val="20"/>
              </w:rPr>
            </w:pPr>
          </w:p>
          <w:p w14:paraId="2055A76F" w14:textId="77777777" w:rsidR="00144026" w:rsidRPr="00190B91" w:rsidRDefault="00144026" w:rsidP="009E2827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190B91">
              <w:rPr>
                <w:rFonts w:ascii="Arial" w:hAnsi="Arial" w:cs="Arial"/>
                <w:b/>
                <w:bCs/>
                <w:i/>
                <w:iCs/>
                <w:sz w:val="20"/>
              </w:rPr>
              <w:t>References:</w:t>
            </w:r>
          </w:p>
          <w:p w14:paraId="61F3EF0F" w14:textId="433B5439" w:rsidR="00144026" w:rsidRDefault="00B626D8" w:rsidP="00104CB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626D8">
              <w:rPr>
                <w:rFonts w:ascii="Arial" w:hAnsi="Arial" w:cs="Arial"/>
                <w:sz w:val="20"/>
                <w:szCs w:val="20"/>
              </w:rPr>
              <w:t>"Consolidated Appropriations Act, 2024 (P.L. 118-42): Medicaid and Medicare Provisions." </w:t>
            </w:r>
            <w:r w:rsidRPr="00B626D8">
              <w:rPr>
                <w:rFonts w:ascii="Arial" w:hAnsi="Arial" w:cs="Arial"/>
                <w:i/>
                <w:iCs/>
                <w:sz w:val="20"/>
                <w:szCs w:val="20"/>
              </w:rPr>
              <w:t>Congress.gov</w:t>
            </w:r>
            <w:r w:rsidRPr="00B626D8">
              <w:rPr>
                <w:rFonts w:ascii="Arial" w:hAnsi="Arial" w:cs="Arial"/>
                <w:sz w:val="20"/>
                <w:szCs w:val="20"/>
              </w:rPr>
              <w:t xml:space="preserve">, Library of Congress, 22 July 2025, </w:t>
            </w:r>
            <w:hyperlink r:id="rId12" w:history="1">
              <w:r w:rsidR="0059779D" w:rsidRPr="0097384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https://www.congress.gov/crs-product/R48075</w:t>
              </w:r>
            </w:hyperlink>
            <w:r w:rsidRPr="00B626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783302" w14:textId="4ABF047D" w:rsidR="0059779D" w:rsidRPr="003312EE" w:rsidRDefault="0059779D" w:rsidP="00104CBA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59779D">
              <w:rPr>
                <w:rFonts w:ascii="Arial" w:hAnsi="Arial" w:cs="Arial"/>
                <w:sz w:val="20"/>
                <w:szCs w:val="20"/>
              </w:rPr>
              <w:t>"H.R.6 - 115th Congress (2017-2018): SUPPORT for Patients and Communities Act." </w:t>
            </w:r>
            <w:r w:rsidRPr="0059779D">
              <w:rPr>
                <w:rFonts w:ascii="Arial" w:hAnsi="Arial" w:cs="Arial"/>
                <w:i/>
                <w:iCs/>
                <w:sz w:val="20"/>
                <w:szCs w:val="20"/>
              </w:rPr>
              <w:t>Congress.gov</w:t>
            </w:r>
            <w:r w:rsidRPr="0059779D">
              <w:rPr>
                <w:rFonts w:ascii="Arial" w:hAnsi="Arial" w:cs="Arial"/>
                <w:sz w:val="20"/>
                <w:szCs w:val="20"/>
              </w:rPr>
              <w:t>, Library of Congress, 24 October 2018, https://www.congress.gov/bill/115th-congress/house-bill/6.</w:t>
            </w:r>
          </w:p>
        </w:tc>
      </w:tr>
    </w:tbl>
    <w:p w14:paraId="5B0E688F" w14:textId="77777777" w:rsidR="00542156" w:rsidRPr="00F8099A" w:rsidRDefault="00542156" w:rsidP="00E1260A"/>
    <w:sectPr w:rsidR="00542156" w:rsidRPr="00F8099A" w:rsidSect="00E011B4">
      <w:headerReference w:type="default" r:id="rId13"/>
      <w:headerReference w:type="first" r:id="rId14"/>
      <w:pgSz w:w="12240" w:h="15840" w:code="1"/>
      <w:pgMar w:top="1008" w:right="691" w:bottom="432" w:left="576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C5DE" w14:textId="77777777" w:rsidR="00A12722" w:rsidRDefault="00A12722" w:rsidP="00D04819">
      <w:pPr>
        <w:spacing w:after="0" w:line="240" w:lineRule="auto"/>
      </w:pPr>
      <w:r>
        <w:separator/>
      </w:r>
    </w:p>
    <w:p w14:paraId="0CA29F88" w14:textId="77777777" w:rsidR="00A12722" w:rsidRDefault="00A12722"/>
  </w:endnote>
  <w:endnote w:type="continuationSeparator" w:id="0">
    <w:p w14:paraId="7BCC844E" w14:textId="77777777" w:rsidR="00A12722" w:rsidRDefault="00A12722" w:rsidP="00D04819">
      <w:pPr>
        <w:spacing w:after="0" w:line="240" w:lineRule="auto"/>
      </w:pPr>
      <w:r>
        <w:continuationSeparator/>
      </w:r>
    </w:p>
    <w:p w14:paraId="6FFC95DA" w14:textId="77777777" w:rsidR="00A12722" w:rsidRDefault="00A12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7EA8" w14:textId="77777777" w:rsidR="00A12722" w:rsidRDefault="00A12722" w:rsidP="00D04819">
      <w:pPr>
        <w:spacing w:after="0" w:line="240" w:lineRule="auto"/>
      </w:pPr>
      <w:r>
        <w:separator/>
      </w:r>
    </w:p>
    <w:p w14:paraId="5265DDA7" w14:textId="77777777" w:rsidR="00A12722" w:rsidRDefault="00A12722"/>
  </w:footnote>
  <w:footnote w:type="continuationSeparator" w:id="0">
    <w:p w14:paraId="63039257" w14:textId="77777777" w:rsidR="00A12722" w:rsidRDefault="00A12722" w:rsidP="00D04819">
      <w:pPr>
        <w:spacing w:after="0" w:line="240" w:lineRule="auto"/>
      </w:pPr>
      <w:r>
        <w:continuationSeparator/>
      </w:r>
    </w:p>
    <w:p w14:paraId="1B120B45" w14:textId="77777777" w:rsidR="00A12722" w:rsidRDefault="00A12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580361"/>
      <w:docPartObj>
        <w:docPartGallery w:val="Page Numbers (Top of Page)"/>
        <w:docPartUnique/>
      </w:docPartObj>
    </w:sdtPr>
    <w:sdtEndPr>
      <w:rPr>
        <w:noProof/>
        <w:color w:val="272D2D" w:themeColor="text2"/>
      </w:rPr>
    </w:sdtEndPr>
    <w:sdtContent>
      <w:p w14:paraId="25D75B9A" w14:textId="2FFC8A47" w:rsidR="00E1260A" w:rsidRPr="00184DB3" w:rsidRDefault="00E1260A">
        <w:pPr>
          <w:pStyle w:val="Header"/>
          <w:rPr>
            <w:rFonts w:ascii="Arial" w:hAnsi="Arial" w:cs="Arial"/>
          </w:rPr>
        </w:pPr>
        <w:r w:rsidRPr="00E1260A">
          <w:rPr>
            <w:color w:val="272D2D" w:themeColor="text2"/>
          </w:rPr>
          <w:fldChar w:fldCharType="begin"/>
        </w:r>
        <w:r w:rsidRPr="00E1260A">
          <w:rPr>
            <w:color w:val="272D2D" w:themeColor="text2"/>
          </w:rPr>
          <w:instrText xml:space="preserve"> PAGE   \* MERGEFORMAT </w:instrText>
        </w:r>
        <w:r w:rsidRPr="00E1260A">
          <w:rPr>
            <w:color w:val="272D2D" w:themeColor="text2"/>
          </w:rPr>
          <w:fldChar w:fldCharType="separate"/>
        </w:r>
        <w:r w:rsidR="008E5E97">
          <w:rPr>
            <w:noProof/>
            <w:color w:val="272D2D" w:themeColor="text2"/>
          </w:rPr>
          <w:t>2</w:t>
        </w:r>
        <w:r w:rsidRPr="00E1260A">
          <w:rPr>
            <w:noProof/>
            <w:color w:val="272D2D" w:themeColor="text2"/>
          </w:rPr>
          <w:fldChar w:fldCharType="end"/>
        </w:r>
      </w:p>
    </w:sdtContent>
  </w:sdt>
  <w:p w14:paraId="51E1DD63" w14:textId="77777777" w:rsidR="00D04819" w:rsidRDefault="00D0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688B" w14:textId="1566BE75" w:rsidR="00184DB3" w:rsidRDefault="00184DB3">
    <w:pPr>
      <w:pStyle w:val="Header"/>
    </w:pPr>
    <w:r>
      <w:rPr>
        <w:noProof/>
      </w:rPr>
      <w:drawing>
        <wp:inline distT="0" distB="0" distL="0" distR="0" wp14:anchorId="178F8EAD" wp14:editId="63E34B67">
          <wp:extent cx="1475693" cy="419100"/>
          <wp:effectExtent l="0" t="0" r="0" b="0"/>
          <wp:docPr id="4628579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28" cy="427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91B"/>
    <w:multiLevelType w:val="hybridMultilevel"/>
    <w:tmpl w:val="0F70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2E5"/>
    <w:multiLevelType w:val="hybridMultilevel"/>
    <w:tmpl w:val="7950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4F7"/>
    <w:multiLevelType w:val="hybridMultilevel"/>
    <w:tmpl w:val="642A3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F5EEB"/>
    <w:multiLevelType w:val="hybridMultilevel"/>
    <w:tmpl w:val="2AF8D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22358"/>
    <w:multiLevelType w:val="hybridMultilevel"/>
    <w:tmpl w:val="E9A61A46"/>
    <w:lvl w:ilvl="0" w:tplc="839C77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5EA7"/>
    <w:multiLevelType w:val="hybridMultilevel"/>
    <w:tmpl w:val="07B8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311A5"/>
    <w:multiLevelType w:val="hybridMultilevel"/>
    <w:tmpl w:val="5FEC5DFE"/>
    <w:lvl w:ilvl="0" w:tplc="88F820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721B"/>
    <w:multiLevelType w:val="hybridMultilevel"/>
    <w:tmpl w:val="8D98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565478"/>
    <w:multiLevelType w:val="hybridMultilevel"/>
    <w:tmpl w:val="7E7A8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96CF4"/>
    <w:multiLevelType w:val="hybridMultilevel"/>
    <w:tmpl w:val="56DC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D733E"/>
    <w:multiLevelType w:val="hybridMultilevel"/>
    <w:tmpl w:val="3E406A6E"/>
    <w:lvl w:ilvl="0" w:tplc="3AFE9CD0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1CD6"/>
    <w:multiLevelType w:val="hybridMultilevel"/>
    <w:tmpl w:val="E306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E4B9B"/>
    <w:multiLevelType w:val="hybridMultilevel"/>
    <w:tmpl w:val="9C2A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5677"/>
    <w:multiLevelType w:val="hybridMultilevel"/>
    <w:tmpl w:val="656C4F82"/>
    <w:lvl w:ilvl="0" w:tplc="EF402B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F3645"/>
    <w:multiLevelType w:val="hybridMultilevel"/>
    <w:tmpl w:val="44667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CE0A7D"/>
    <w:multiLevelType w:val="hybridMultilevel"/>
    <w:tmpl w:val="218A2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F603CC"/>
    <w:multiLevelType w:val="hybridMultilevel"/>
    <w:tmpl w:val="9F74C7D0"/>
    <w:lvl w:ilvl="0" w:tplc="4D1A4C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27F75"/>
    <w:multiLevelType w:val="hybridMultilevel"/>
    <w:tmpl w:val="09986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246247">
    <w:abstractNumId w:val="12"/>
  </w:num>
  <w:num w:numId="2" w16cid:durableId="1325813543">
    <w:abstractNumId w:val="2"/>
  </w:num>
  <w:num w:numId="3" w16cid:durableId="207229530">
    <w:abstractNumId w:val="5"/>
  </w:num>
  <w:num w:numId="4" w16cid:durableId="550073625">
    <w:abstractNumId w:val="3"/>
  </w:num>
  <w:num w:numId="5" w16cid:durableId="1299652436">
    <w:abstractNumId w:val="15"/>
  </w:num>
  <w:num w:numId="6" w16cid:durableId="704209405">
    <w:abstractNumId w:val="14"/>
  </w:num>
  <w:num w:numId="7" w16cid:durableId="129129350">
    <w:abstractNumId w:val="8"/>
  </w:num>
  <w:num w:numId="8" w16cid:durableId="1063989802">
    <w:abstractNumId w:val="17"/>
  </w:num>
  <w:num w:numId="9" w16cid:durableId="662706396">
    <w:abstractNumId w:val="7"/>
  </w:num>
  <w:num w:numId="10" w16cid:durableId="2095666903">
    <w:abstractNumId w:val="4"/>
  </w:num>
  <w:num w:numId="11" w16cid:durableId="1554349781">
    <w:abstractNumId w:val="13"/>
  </w:num>
  <w:num w:numId="12" w16cid:durableId="1166896506">
    <w:abstractNumId w:val="10"/>
  </w:num>
  <w:num w:numId="13" w16cid:durableId="366881945">
    <w:abstractNumId w:val="16"/>
  </w:num>
  <w:num w:numId="14" w16cid:durableId="78453287">
    <w:abstractNumId w:val="0"/>
  </w:num>
  <w:num w:numId="15" w16cid:durableId="873469770">
    <w:abstractNumId w:val="1"/>
  </w:num>
  <w:num w:numId="16" w16cid:durableId="1033114896">
    <w:abstractNumId w:val="6"/>
  </w:num>
  <w:num w:numId="17" w16cid:durableId="146017502">
    <w:abstractNumId w:val="11"/>
  </w:num>
  <w:num w:numId="18" w16cid:durableId="858546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C5"/>
    <w:rsid w:val="000127D7"/>
    <w:rsid w:val="000172FD"/>
    <w:rsid w:val="00017D84"/>
    <w:rsid w:val="00030DE3"/>
    <w:rsid w:val="0003367A"/>
    <w:rsid w:val="0003764E"/>
    <w:rsid w:val="00041D52"/>
    <w:rsid w:val="00042C74"/>
    <w:rsid w:val="00043F60"/>
    <w:rsid w:val="00047BAE"/>
    <w:rsid w:val="00047E02"/>
    <w:rsid w:val="0006304A"/>
    <w:rsid w:val="00073BF2"/>
    <w:rsid w:val="00076ED4"/>
    <w:rsid w:val="00085C81"/>
    <w:rsid w:val="00086103"/>
    <w:rsid w:val="000A2C77"/>
    <w:rsid w:val="000B0A5F"/>
    <w:rsid w:val="000B77D2"/>
    <w:rsid w:val="000C2A6B"/>
    <w:rsid w:val="000D01A7"/>
    <w:rsid w:val="000D17DA"/>
    <w:rsid w:val="000D1C18"/>
    <w:rsid w:val="000E0995"/>
    <w:rsid w:val="000E0FA9"/>
    <w:rsid w:val="000E36E0"/>
    <w:rsid w:val="000F19F2"/>
    <w:rsid w:val="000F5649"/>
    <w:rsid w:val="00102AE2"/>
    <w:rsid w:val="00104116"/>
    <w:rsid w:val="00104CBA"/>
    <w:rsid w:val="00106C5E"/>
    <w:rsid w:val="001118F2"/>
    <w:rsid w:val="001149C8"/>
    <w:rsid w:val="00121925"/>
    <w:rsid w:val="0012209E"/>
    <w:rsid w:val="0012349D"/>
    <w:rsid w:val="0013040F"/>
    <w:rsid w:val="00131017"/>
    <w:rsid w:val="0013104B"/>
    <w:rsid w:val="001421C0"/>
    <w:rsid w:val="0014248D"/>
    <w:rsid w:val="00144026"/>
    <w:rsid w:val="001459B7"/>
    <w:rsid w:val="00153659"/>
    <w:rsid w:val="00161D2B"/>
    <w:rsid w:val="00164D7A"/>
    <w:rsid w:val="00175668"/>
    <w:rsid w:val="00176395"/>
    <w:rsid w:val="0018038C"/>
    <w:rsid w:val="00184715"/>
    <w:rsid w:val="00184DB3"/>
    <w:rsid w:val="00190B91"/>
    <w:rsid w:val="001A1FBD"/>
    <w:rsid w:val="001A50B7"/>
    <w:rsid w:val="001A57F7"/>
    <w:rsid w:val="001A5FFD"/>
    <w:rsid w:val="001B38C9"/>
    <w:rsid w:val="001C025C"/>
    <w:rsid w:val="001C0953"/>
    <w:rsid w:val="001C1AA3"/>
    <w:rsid w:val="001C1BBE"/>
    <w:rsid w:val="001C3DE9"/>
    <w:rsid w:val="001C4C85"/>
    <w:rsid w:val="001C756B"/>
    <w:rsid w:val="001E2124"/>
    <w:rsid w:val="001E5275"/>
    <w:rsid w:val="001E5676"/>
    <w:rsid w:val="001F0A2E"/>
    <w:rsid w:val="001F5756"/>
    <w:rsid w:val="00213BD5"/>
    <w:rsid w:val="00220E4D"/>
    <w:rsid w:val="002214E9"/>
    <w:rsid w:val="00224AF9"/>
    <w:rsid w:val="0023068C"/>
    <w:rsid w:val="00235129"/>
    <w:rsid w:val="00240F23"/>
    <w:rsid w:val="002417A8"/>
    <w:rsid w:val="00243869"/>
    <w:rsid w:val="0026238B"/>
    <w:rsid w:val="0026457F"/>
    <w:rsid w:val="00265050"/>
    <w:rsid w:val="00272A81"/>
    <w:rsid w:val="00274772"/>
    <w:rsid w:val="00277ECF"/>
    <w:rsid w:val="00283084"/>
    <w:rsid w:val="00290ACF"/>
    <w:rsid w:val="00291553"/>
    <w:rsid w:val="00291D14"/>
    <w:rsid w:val="0029481C"/>
    <w:rsid w:val="00295DF6"/>
    <w:rsid w:val="002A69C5"/>
    <w:rsid w:val="002B0380"/>
    <w:rsid w:val="002B149E"/>
    <w:rsid w:val="002C19F2"/>
    <w:rsid w:val="002C3FBC"/>
    <w:rsid w:val="002D1808"/>
    <w:rsid w:val="002D423E"/>
    <w:rsid w:val="002D6612"/>
    <w:rsid w:val="002D775B"/>
    <w:rsid w:val="002E2F92"/>
    <w:rsid w:val="002E44C4"/>
    <w:rsid w:val="002E76DB"/>
    <w:rsid w:val="002F1A5A"/>
    <w:rsid w:val="002F6E0D"/>
    <w:rsid w:val="002F710F"/>
    <w:rsid w:val="0031462A"/>
    <w:rsid w:val="00321158"/>
    <w:rsid w:val="00327C0E"/>
    <w:rsid w:val="003312EE"/>
    <w:rsid w:val="00345523"/>
    <w:rsid w:val="003457F4"/>
    <w:rsid w:val="003500BE"/>
    <w:rsid w:val="00350C82"/>
    <w:rsid w:val="00353B0B"/>
    <w:rsid w:val="00354FB5"/>
    <w:rsid w:val="0035754D"/>
    <w:rsid w:val="003624E6"/>
    <w:rsid w:val="0036479C"/>
    <w:rsid w:val="00364C2C"/>
    <w:rsid w:val="003674E0"/>
    <w:rsid w:val="003718D1"/>
    <w:rsid w:val="003740FA"/>
    <w:rsid w:val="00380750"/>
    <w:rsid w:val="003811F0"/>
    <w:rsid w:val="0038230F"/>
    <w:rsid w:val="00383C3B"/>
    <w:rsid w:val="003A16EB"/>
    <w:rsid w:val="003A552A"/>
    <w:rsid w:val="003A790A"/>
    <w:rsid w:val="003B044E"/>
    <w:rsid w:val="003C190F"/>
    <w:rsid w:val="003C393D"/>
    <w:rsid w:val="003C5884"/>
    <w:rsid w:val="003D15E5"/>
    <w:rsid w:val="003E0267"/>
    <w:rsid w:val="003E0448"/>
    <w:rsid w:val="003E18D5"/>
    <w:rsid w:val="003E45D3"/>
    <w:rsid w:val="003E4FA3"/>
    <w:rsid w:val="003E7561"/>
    <w:rsid w:val="003F3D02"/>
    <w:rsid w:val="003F6B34"/>
    <w:rsid w:val="003F72BE"/>
    <w:rsid w:val="004005B3"/>
    <w:rsid w:val="00407D33"/>
    <w:rsid w:val="00417340"/>
    <w:rsid w:val="00422FA4"/>
    <w:rsid w:val="00426A5F"/>
    <w:rsid w:val="004306F8"/>
    <w:rsid w:val="004348CD"/>
    <w:rsid w:val="00435469"/>
    <w:rsid w:val="004379C0"/>
    <w:rsid w:val="00445A45"/>
    <w:rsid w:val="00454A5B"/>
    <w:rsid w:val="004579EF"/>
    <w:rsid w:val="00460DE6"/>
    <w:rsid w:val="00471196"/>
    <w:rsid w:val="00472D75"/>
    <w:rsid w:val="0047505E"/>
    <w:rsid w:val="00475F58"/>
    <w:rsid w:val="00476143"/>
    <w:rsid w:val="0047718C"/>
    <w:rsid w:val="00483673"/>
    <w:rsid w:val="0049245E"/>
    <w:rsid w:val="00493D15"/>
    <w:rsid w:val="00496F68"/>
    <w:rsid w:val="00497C2A"/>
    <w:rsid w:val="004A261C"/>
    <w:rsid w:val="004A28F0"/>
    <w:rsid w:val="004A4941"/>
    <w:rsid w:val="004B20C8"/>
    <w:rsid w:val="004C63EB"/>
    <w:rsid w:val="004C711C"/>
    <w:rsid w:val="004D0772"/>
    <w:rsid w:val="004D3747"/>
    <w:rsid w:val="004E2C1C"/>
    <w:rsid w:val="004E432C"/>
    <w:rsid w:val="004F2A55"/>
    <w:rsid w:val="004F3744"/>
    <w:rsid w:val="004F3BA4"/>
    <w:rsid w:val="004F3C1C"/>
    <w:rsid w:val="00501F30"/>
    <w:rsid w:val="00507BE3"/>
    <w:rsid w:val="00513FC0"/>
    <w:rsid w:val="00521B6A"/>
    <w:rsid w:val="005239BA"/>
    <w:rsid w:val="005242F4"/>
    <w:rsid w:val="00526DE3"/>
    <w:rsid w:val="00537F9B"/>
    <w:rsid w:val="00542156"/>
    <w:rsid w:val="00543F2B"/>
    <w:rsid w:val="005531DF"/>
    <w:rsid w:val="0055758D"/>
    <w:rsid w:val="00557A68"/>
    <w:rsid w:val="005612AD"/>
    <w:rsid w:val="0057466A"/>
    <w:rsid w:val="00575327"/>
    <w:rsid w:val="00580226"/>
    <w:rsid w:val="00582E88"/>
    <w:rsid w:val="0058303C"/>
    <w:rsid w:val="00583783"/>
    <w:rsid w:val="00583F01"/>
    <w:rsid w:val="00590B3C"/>
    <w:rsid w:val="00595B03"/>
    <w:rsid w:val="0059779D"/>
    <w:rsid w:val="005A04AA"/>
    <w:rsid w:val="005A4635"/>
    <w:rsid w:val="005A4E09"/>
    <w:rsid w:val="005B383C"/>
    <w:rsid w:val="005B4FBF"/>
    <w:rsid w:val="005C5911"/>
    <w:rsid w:val="005D02C6"/>
    <w:rsid w:val="005D0CD9"/>
    <w:rsid w:val="005D6AF3"/>
    <w:rsid w:val="005E67AC"/>
    <w:rsid w:val="005F0DA4"/>
    <w:rsid w:val="0060174D"/>
    <w:rsid w:val="00604EDE"/>
    <w:rsid w:val="00623E82"/>
    <w:rsid w:val="00632AF7"/>
    <w:rsid w:val="00634AB8"/>
    <w:rsid w:val="00636693"/>
    <w:rsid w:val="006373ED"/>
    <w:rsid w:val="00641C12"/>
    <w:rsid w:val="006428D0"/>
    <w:rsid w:val="00642C04"/>
    <w:rsid w:val="00643402"/>
    <w:rsid w:val="00643C91"/>
    <w:rsid w:val="00646544"/>
    <w:rsid w:val="0064664F"/>
    <w:rsid w:val="00646BAE"/>
    <w:rsid w:val="006559E4"/>
    <w:rsid w:val="00655EA9"/>
    <w:rsid w:val="00656844"/>
    <w:rsid w:val="0066260E"/>
    <w:rsid w:val="00662FB0"/>
    <w:rsid w:val="00663516"/>
    <w:rsid w:val="00663F45"/>
    <w:rsid w:val="00667D08"/>
    <w:rsid w:val="00672B71"/>
    <w:rsid w:val="00674E18"/>
    <w:rsid w:val="00676695"/>
    <w:rsid w:val="00676E6F"/>
    <w:rsid w:val="006824AD"/>
    <w:rsid w:val="006841B0"/>
    <w:rsid w:val="00684ACF"/>
    <w:rsid w:val="00692E2D"/>
    <w:rsid w:val="00693CB8"/>
    <w:rsid w:val="006A1CF8"/>
    <w:rsid w:val="006A5066"/>
    <w:rsid w:val="006A53CA"/>
    <w:rsid w:val="006B0CC3"/>
    <w:rsid w:val="006B1130"/>
    <w:rsid w:val="006C0291"/>
    <w:rsid w:val="006D2038"/>
    <w:rsid w:val="006D4F44"/>
    <w:rsid w:val="006E4974"/>
    <w:rsid w:val="006F1AD8"/>
    <w:rsid w:val="006F3F0B"/>
    <w:rsid w:val="006F5878"/>
    <w:rsid w:val="00701356"/>
    <w:rsid w:val="00703CF2"/>
    <w:rsid w:val="00706713"/>
    <w:rsid w:val="007075B8"/>
    <w:rsid w:val="007126C0"/>
    <w:rsid w:val="00722600"/>
    <w:rsid w:val="00723704"/>
    <w:rsid w:val="00725A6F"/>
    <w:rsid w:val="0072679E"/>
    <w:rsid w:val="00727533"/>
    <w:rsid w:val="00734C4F"/>
    <w:rsid w:val="007359D3"/>
    <w:rsid w:val="007518AB"/>
    <w:rsid w:val="00755278"/>
    <w:rsid w:val="00765153"/>
    <w:rsid w:val="00767E83"/>
    <w:rsid w:val="00770B04"/>
    <w:rsid w:val="00773234"/>
    <w:rsid w:val="00774293"/>
    <w:rsid w:val="00782A28"/>
    <w:rsid w:val="00782DB8"/>
    <w:rsid w:val="0078463A"/>
    <w:rsid w:val="0078525B"/>
    <w:rsid w:val="00790E29"/>
    <w:rsid w:val="007953B4"/>
    <w:rsid w:val="007A19D8"/>
    <w:rsid w:val="007B183A"/>
    <w:rsid w:val="007B2DA3"/>
    <w:rsid w:val="007B737B"/>
    <w:rsid w:val="007D011D"/>
    <w:rsid w:val="007D5E33"/>
    <w:rsid w:val="007D68F3"/>
    <w:rsid w:val="007E6613"/>
    <w:rsid w:val="007F29E1"/>
    <w:rsid w:val="007F4B1D"/>
    <w:rsid w:val="007F5453"/>
    <w:rsid w:val="007F7DAE"/>
    <w:rsid w:val="007F7F24"/>
    <w:rsid w:val="0080211F"/>
    <w:rsid w:val="00803D00"/>
    <w:rsid w:val="00805BF0"/>
    <w:rsid w:val="00805E1E"/>
    <w:rsid w:val="008113D1"/>
    <w:rsid w:val="00817107"/>
    <w:rsid w:val="0082783D"/>
    <w:rsid w:val="00831716"/>
    <w:rsid w:val="0083404B"/>
    <w:rsid w:val="00837D21"/>
    <w:rsid w:val="00843033"/>
    <w:rsid w:val="00845DFB"/>
    <w:rsid w:val="00846FF8"/>
    <w:rsid w:val="00852896"/>
    <w:rsid w:val="008534D5"/>
    <w:rsid w:val="008555F9"/>
    <w:rsid w:val="00857AD4"/>
    <w:rsid w:val="008743D8"/>
    <w:rsid w:val="008764C4"/>
    <w:rsid w:val="008851C1"/>
    <w:rsid w:val="00886379"/>
    <w:rsid w:val="0089452A"/>
    <w:rsid w:val="008A16C1"/>
    <w:rsid w:val="008A2BE0"/>
    <w:rsid w:val="008A5283"/>
    <w:rsid w:val="008A5F4B"/>
    <w:rsid w:val="008B1597"/>
    <w:rsid w:val="008B51E3"/>
    <w:rsid w:val="008C50C0"/>
    <w:rsid w:val="008C754A"/>
    <w:rsid w:val="008D30FD"/>
    <w:rsid w:val="008D6A9A"/>
    <w:rsid w:val="008E0418"/>
    <w:rsid w:val="008E2B45"/>
    <w:rsid w:val="008E5E97"/>
    <w:rsid w:val="008E5FF0"/>
    <w:rsid w:val="008E7B70"/>
    <w:rsid w:val="008F3388"/>
    <w:rsid w:val="008F5E25"/>
    <w:rsid w:val="009029F5"/>
    <w:rsid w:val="00913322"/>
    <w:rsid w:val="00915D51"/>
    <w:rsid w:val="0092141A"/>
    <w:rsid w:val="0092415B"/>
    <w:rsid w:val="00924CC6"/>
    <w:rsid w:val="00934D17"/>
    <w:rsid w:val="0094254E"/>
    <w:rsid w:val="00943A5B"/>
    <w:rsid w:val="00952695"/>
    <w:rsid w:val="009541F8"/>
    <w:rsid w:val="0096341F"/>
    <w:rsid w:val="009652C1"/>
    <w:rsid w:val="009660DB"/>
    <w:rsid w:val="00971468"/>
    <w:rsid w:val="00980F77"/>
    <w:rsid w:val="0098549C"/>
    <w:rsid w:val="00990A4F"/>
    <w:rsid w:val="00993142"/>
    <w:rsid w:val="00996EF5"/>
    <w:rsid w:val="009A39FD"/>
    <w:rsid w:val="009A629B"/>
    <w:rsid w:val="009A6436"/>
    <w:rsid w:val="009A7825"/>
    <w:rsid w:val="009B39A2"/>
    <w:rsid w:val="009B3DE0"/>
    <w:rsid w:val="009B46C1"/>
    <w:rsid w:val="009B5D87"/>
    <w:rsid w:val="009C5326"/>
    <w:rsid w:val="009D6CD6"/>
    <w:rsid w:val="009E1742"/>
    <w:rsid w:val="009E2827"/>
    <w:rsid w:val="009E4F4F"/>
    <w:rsid w:val="009F436C"/>
    <w:rsid w:val="009F455D"/>
    <w:rsid w:val="00A12722"/>
    <w:rsid w:val="00A167CF"/>
    <w:rsid w:val="00A23E33"/>
    <w:rsid w:val="00A23F41"/>
    <w:rsid w:val="00A314F0"/>
    <w:rsid w:val="00A32647"/>
    <w:rsid w:val="00A36852"/>
    <w:rsid w:val="00A41E43"/>
    <w:rsid w:val="00A4319E"/>
    <w:rsid w:val="00A50D1E"/>
    <w:rsid w:val="00A63A06"/>
    <w:rsid w:val="00A63D39"/>
    <w:rsid w:val="00A63E41"/>
    <w:rsid w:val="00A65075"/>
    <w:rsid w:val="00A701B8"/>
    <w:rsid w:val="00A70B9E"/>
    <w:rsid w:val="00A70ECC"/>
    <w:rsid w:val="00A717EF"/>
    <w:rsid w:val="00A73146"/>
    <w:rsid w:val="00A76EFF"/>
    <w:rsid w:val="00A773F6"/>
    <w:rsid w:val="00A808F3"/>
    <w:rsid w:val="00A8363E"/>
    <w:rsid w:val="00A84010"/>
    <w:rsid w:val="00A86613"/>
    <w:rsid w:val="00A917BC"/>
    <w:rsid w:val="00AA5F61"/>
    <w:rsid w:val="00AA60F2"/>
    <w:rsid w:val="00AB1DE5"/>
    <w:rsid w:val="00AC4A19"/>
    <w:rsid w:val="00AE020E"/>
    <w:rsid w:val="00AE1483"/>
    <w:rsid w:val="00AE702E"/>
    <w:rsid w:val="00B01D23"/>
    <w:rsid w:val="00B02101"/>
    <w:rsid w:val="00B02AE9"/>
    <w:rsid w:val="00B05AE1"/>
    <w:rsid w:val="00B074C2"/>
    <w:rsid w:val="00B14894"/>
    <w:rsid w:val="00B16BAE"/>
    <w:rsid w:val="00B20DEE"/>
    <w:rsid w:val="00B315A7"/>
    <w:rsid w:val="00B330D2"/>
    <w:rsid w:val="00B37BCA"/>
    <w:rsid w:val="00B46872"/>
    <w:rsid w:val="00B478C3"/>
    <w:rsid w:val="00B51291"/>
    <w:rsid w:val="00B54DA1"/>
    <w:rsid w:val="00B626D8"/>
    <w:rsid w:val="00B90056"/>
    <w:rsid w:val="00B90270"/>
    <w:rsid w:val="00B9266C"/>
    <w:rsid w:val="00B92A22"/>
    <w:rsid w:val="00B92D58"/>
    <w:rsid w:val="00B93853"/>
    <w:rsid w:val="00BA2E28"/>
    <w:rsid w:val="00BA3918"/>
    <w:rsid w:val="00BA47C4"/>
    <w:rsid w:val="00BA690E"/>
    <w:rsid w:val="00BB0F1F"/>
    <w:rsid w:val="00BB3729"/>
    <w:rsid w:val="00BB52F4"/>
    <w:rsid w:val="00BC039A"/>
    <w:rsid w:val="00BC4B36"/>
    <w:rsid w:val="00BD0860"/>
    <w:rsid w:val="00BD1D94"/>
    <w:rsid w:val="00BD5457"/>
    <w:rsid w:val="00BE2683"/>
    <w:rsid w:val="00BF23B1"/>
    <w:rsid w:val="00BF262F"/>
    <w:rsid w:val="00BF5905"/>
    <w:rsid w:val="00BF5DE7"/>
    <w:rsid w:val="00BF5F88"/>
    <w:rsid w:val="00C027F1"/>
    <w:rsid w:val="00C04A7B"/>
    <w:rsid w:val="00C07988"/>
    <w:rsid w:val="00C11B2C"/>
    <w:rsid w:val="00C40D29"/>
    <w:rsid w:val="00C429CB"/>
    <w:rsid w:val="00C43499"/>
    <w:rsid w:val="00C50AB4"/>
    <w:rsid w:val="00C53FB1"/>
    <w:rsid w:val="00C60C17"/>
    <w:rsid w:val="00C62A62"/>
    <w:rsid w:val="00C63E31"/>
    <w:rsid w:val="00C7131A"/>
    <w:rsid w:val="00C845E6"/>
    <w:rsid w:val="00C85B07"/>
    <w:rsid w:val="00C9143D"/>
    <w:rsid w:val="00C91F3A"/>
    <w:rsid w:val="00C9562F"/>
    <w:rsid w:val="00CA43A3"/>
    <w:rsid w:val="00CB05A8"/>
    <w:rsid w:val="00CB0EE4"/>
    <w:rsid w:val="00CC06F1"/>
    <w:rsid w:val="00CC171A"/>
    <w:rsid w:val="00CC390B"/>
    <w:rsid w:val="00CC550B"/>
    <w:rsid w:val="00CC6198"/>
    <w:rsid w:val="00CC6959"/>
    <w:rsid w:val="00CD581F"/>
    <w:rsid w:val="00CE5028"/>
    <w:rsid w:val="00CF2F11"/>
    <w:rsid w:val="00CF601A"/>
    <w:rsid w:val="00CF633E"/>
    <w:rsid w:val="00D0052B"/>
    <w:rsid w:val="00D04819"/>
    <w:rsid w:val="00D27F27"/>
    <w:rsid w:val="00D328EB"/>
    <w:rsid w:val="00D34F93"/>
    <w:rsid w:val="00D35407"/>
    <w:rsid w:val="00D41AA1"/>
    <w:rsid w:val="00D4306B"/>
    <w:rsid w:val="00D43D9E"/>
    <w:rsid w:val="00D4508E"/>
    <w:rsid w:val="00D60830"/>
    <w:rsid w:val="00D63660"/>
    <w:rsid w:val="00D64DA4"/>
    <w:rsid w:val="00D754C9"/>
    <w:rsid w:val="00D85D81"/>
    <w:rsid w:val="00D873A3"/>
    <w:rsid w:val="00D9292C"/>
    <w:rsid w:val="00D96154"/>
    <w:rsid w:val="00D9628A"/>
    <w:rsid w:val="00DA2DE1"/>
    <w:rsid w:val="00DA65C7"/>
    <w:rsid w:val="00DA66C2"/>
    <w:rsid w:val="00DA7542"/>
    <w:rsid w:val="00DA7E85"/>
    <w:rsid w:val="00DB03A6"/>
    <w:rsid w:val="00DB6D9B"/>
    <w:rsid w:val="00DC3EC6"/>
    <w:rsid w:val="00DD3602"/>
    <w:rsid w:val="00DE30F1"/>
    <w:rsid w:val="00DE428D"/>
    <w:rsid w:val="00DE6E60"/>
    <w:rsid w:val="00DF7950"/>
    <w:rsid w:val="00E011B4"/>
    <w:rsid w:val="00E1260A"/>
    <w:rsid w:val="00E234A4"/>
    <w:rsid w:val="00E268AF"/>
    <w:rsid w:val="00E30D8F"/>
    <w:rsid w:val="00E321C3"/>
    <w:rsid w:val="00E33750"/>
    <w:rsid w:val="00E33A62"/>
    <w:rsid w:val="00E3641E"/>
    <w:rsid w:val="00E403B0"/>
    <w:rsid w:val="00E40ABF"/>
    <w:rsid w:val="00E44164"/>
    <w:rsid w:val="00E45E99"/>
    <w:rsid w:val="00E47E72"/>
    <w:rsid w:val="00E570B4"/>
    <w:rsid w:val="00E62F06"/>
    <w:rsid w:val="00E65937"/>
    <w:rsid w:val="00E66A03"/>
    <w:rsid w:val="00E732D1"/>
    <w:rsid w:val="00E74997"/>
    <w:rsid w:val="00E758FA"/>
    <w:rsid w:val="00E81832"/>
    <w:rsid w:val="00E8672B"/>
    <w:rsid w:val="00E8702F"/>
    <w:rsid w:val="00EA6F2A"/>
    <w:rsid w:val="00EB1B1C"/>
    <w:rsid w:val="00EB29CD"/>
    <w:rsid w:val="00EB659F"/>
    <w:rsid w:val="00EE19D1"/>
    <w:rsid w:val="00EE1A44"/>
    <w:rsid w:val="00EE1DB4"/>
    <w:rsid w:val="00EE3EC4"/>
    <w:rsid w:val="00EE3FA5"/>
    <w:rsid w:val="00EE4422"/>
    <w:rsid w:val="00EF0540"/>
    <w:rsid w:val="00EF79A8"/>
    <w:rsid w:val="00F15FDA"/>
    <w:rsid w:val="00F1639E"/>
    <w:rsid w:val="00F2301D"/>
    <w:rsid w:val="00F35188"/>
    <w:rsid w:val="00F35E68"/>
    <w:rsid w:val="00F36D69"/>
    <w:rsid w:val="00F41442"/>
    <w:rsid w:val="00F50423"/>
    <w:rsid w:val="00F523EA"/>
    <w:rsid w:val="00F54ED4"/>
    <w:rsid w:val="00F54F64"/>
    <w:rsid w:val="00F60841"/>
    <w:rsid w:val="00F61698"/>
    <w:rsid w:val="00F6170F"/>
    <w:rsid w:val="00F63BCE"/>
    <w:rsid w:val="00F7503F"/>
    <w:rsid w:val="00F77A5A"/>
    <w:rsid w:val="00F8099A"/>
    <w:rsid w:val="00F87694"/>
    <w:rsid w:val="00F87C55"/>
    <w:rsid w:val="00F916F5"/>
    <w:rsid w:val="00F936BE"/>
    <w:rsid w:val="00F9585D"/>
    <w:rsid w:val="00F95CA6"/>
    <w:rsid w:val="00FA28CD"/>
    <w:rsid w:val="00FA4B37"/>
    <w:rsid w:val="00FC3F8B"/>
    <w:rsid w:val="00FC6C12"/>
    <w:rsid w:val="00FD02DB"/>
    <w:rsid w:val="00FD11D6"/>
    <w:rsid w:val="00FD47F6"/>
    <w:rsid w:val="00FE0CD9"/>
    <w:rsid w:val="00FE42AD"/>
    <w:rsid w:val="00FE4D36"/>
    <w:rsid w:val="00FE5679"/>
    <w:rsid w:val="00FE63E1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E80E30"/>
  <w15:docId w15:val="{208B2D40-2D5F-43A6-80D7-86625297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34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semiHidden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35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table" w:styleId="GridTable5Dark-Accent4">
    <w:name w:val="Grid Table 5 Dark Accent 4"/>
    <w:basedOn w:val="TableNormal"/>
    <w:uiPriority w:val="50"/>
    <w:rsid w:val="008534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E6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E6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E6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E6C" w:themeFill="accent4"/>
      </w:tcPr>
    </w:tblStylePr>
    <w:tblStylePr w:type="band1Vert">
      <w:tblPr/>
      <w:tcPr>
        <w:shd w:val="clear" w:color="auto" w:fill="F9E4C4" w:themeFill="accent4" w:themeFillTint="66"/>
      </w:tcPr>
    </w:tblStylePr>
    <w:tblStylePr w:type="band1Horz">
      <w:tblPr/>
      <w:tcPr>
        <w:shd w:val="clear" w:color="auto" w:fill="F9E4C4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CB0EE4"/>
    <w:pPr>
      <w:spacing w:after="0" w:line="240" w:lineRule="auto"/>
    </w:pPr>
    <w:tblPr>
      <w:tblStyleRowBandSize w:val="1"/>
      <w:tblStyleColBandSize w:val="1"/>
      <w:tblBorders>
        <w:top w:val="single" w:sz="4" w:space="0" w:color="F6D7A6" w:themeColor="accent4" w:themeTint="99"/>
        <w:left w:val="single" w:sz="4" w:space="0" w:color="F6D7A6" w:themeColor="accent4" w:themeTint="99"/>
        <w:bottom w:val="single" w:sz="4" w:space="0" w:color="F6D7A6" w:themeColor="accent4" w:themeTint="99"/>
        <w:right w:val="single" w:sz="4" w:space="0" w:color="F6D7A6" w:themeColor="accent4" w:themeTint="99"/>
        <w:insideH w:val="single" w:sz="4" w:space="0" w:color="F6D7A6" w:themeColor="accent4" w:themeTint="99"/>
        <w:insideV w:val="single" w:sz="4" w:space="0" w:color="F6D7A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E6C" w:themeColor="accent4"/>
          <w:left w:val="single" w:sz="4" w:space="0" w:color="F0BE6C" w:themeColor="accent4"/>
          <w:bottom w:val="single" w:sz="4" w:space="0" w:color="F0BE6C" w:themeColor="accent4"/>
          <w:right w:val="single" w:sz="4" w:space="0" w:color="F0BE6C" w:themeColor="accent4"/>
          <w:insideH w:val="nil"/>
          <w:insideV w:val="nil"/>
        </w:tcBorders>
        <w:shd w:val="clear" w:color="auto" w:fill="F0BE6C" w:themeFill="accent4"/>
      </w:tcPr>
    </w:tblStylePr>
    <w:tblStylePr w:type="lastRow">
      <w:rPr>
        <w:b/>
        <w:bCs/>
      </w:rPr>
      <w:tblPr/>
      <w:tcPr>
        <w:tcBorders>
          <w:top w:val="double" w:sz="4" w:space="0" w:color="F0BE6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E1" w:themeFill="accent4" w:themeFillTint="33"/>
      </w:tcPr>
    </w:tblStylePr>
    <w:tblStylePr w:type="band1Horz">
      <w:tblPr/>
      <w:tcPr>
        <w:shd w:val="clear" w:color="auto" w:fill="FCF1E1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CB0EE4"/>
    <w:pPr>
      <w:spacing w:line="259" w:lineRule="auto"/>
      <w:ind w:left="720"/>
      <w:contextualSpacing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B0EE4"/>
    <w:rPr>
      <w:color w:val="2BB28A" w:themeColor="hyperlink"/>
      <w:u w:val="single"/>
    </w:rPr>
  </w:style>
  <w:style w:type="table" w:styleId="GridTable5Dark-Accent2">
    <w:name w:val="Grid Table 5 Dark Accent 2"/>
    <w:basedOn w:val="TableNormal"/>
    <w:uiPriority w:val="50"/>
    <w:rsid w:val="002417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E6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E6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E6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E6C" w:themeFill="accent2"/>
      </w:tcPr>
    </w:tblStylePr>
    <w:tblStylePr w:type="band1Vert">
      <w:tblPr/>
      <w:tcPr>
        <w:shd w:val="clear" w:color="auto" w:fill="F9E4C4" w:themeFill="accent2" w:themeFillTint="66"/>
      </w:tcPr>
    </w:tblStylePr>
    <w:tblStylePr w:type="band1Horz">
      <w:tblPr/>
      <w:tcPr>
        <w:shd w:val="clear" w:color="auto" w:fill="F9E4C4" w:themeFill="accent2" w:themeFillTint="66"/>
      </w:tcPr>
    </w:tblStylePr>
  </w:style>
  <w:style w:type="paragraph" w:customStyle="1" w:styleId="first">
    <w:name w:val="first"/>
    <w:basedOn w:val="Normal"/>
    <w:rsid w:val="0001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DefaultParagraphFont"/>
    <w:rsid w:val="000172FD"/>
  </w:style>
  <w:style w:type="paragraph" w:styleId="NormalWeb">
    <w:name w:val="Normal (Web)"/>
    <w:basedOn w:val="Normal"/>
    <w:uiPriority w:val="99"/>
    <w:unhideWhenUsed/>
    <w:rsid w:val="0001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57F7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06304A"/>
    <w:pPr>
      <w:spacing w:after="0" w:line="240" w:lineRule="auto"/>
    </w:pPr>
    <w:tblPr>
      <w:tblStyleRowBandSize w:val="1"/>
      <w:tblStyleColBandSize w:val="1"/>
      <w:tblBorders>
        <w:top w:val="single" w:sz="4" w:space="0" w:color="F6D7A6" w:themeColor="accent2" w:themeTint="99"/>
        <w:left w:val="single" w:sz="4" w:space="0" w:color="F6D7A6" w:themeColor="accent2" w:themeTint="99"/>
        <w:bottom w:val="single" w:sz="4" w:space="0" w:color="F6D7A6" w:themeColor="accent2" w:themeTint="99"/>
        <w:right w:val="single" w:sz="4" w:space="0" w:color="F6D7A6" w:themeColor="accent2" w:themeTint="99"/>
        <w:insideH w:val="single" w:sz="4" w:space="0" w:color="F6D7A6" w:themeColor="accent2" w:themeTint="99"/>
        <w:insideV w:val="single" w:sz="4" w:space="0" w:color="F6D7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E6C" w:themeColor="accent2"/>
          <w:left w:val="single" w:sz="4" w:space="0" w:color="F0BE6C" w:themeColor="accent2"/>
          <w:bottom w:val="single" w:sz="4" w:space="0" w:color="F0BE6C" w:themeColor="accent2"/>
          <w:right w:val="single" w:sz="4" w:space="0" w:color="F0BE6C" w:themeColor="accent2"/>
          <w:insideH w:val="nil"/>
          <w:insideV w:val="nil"/>
        </w:tcBorders>
        <w:shd w:val="clear" w:color="auto" w:fill="F0BE6C" w:themeFill="accent2"/>
      </w:tcPr>
    </w:tblStylePr>
    <w:tblStylePr w:type="lastRow">
      <w:rPr>
        <w:b/>
        <w:bCs/>
      </w:rPr>
      <w:tblPr/>
      <w:tcPr>
        <w:tcBorders>
          <w:top w:val="double" w:sz="4" w:space="0" w:color="F0BE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E1" w:themeFill="accent2" w:themeFillTint="33"/>
      </w:tcPr>
    </w:tblStylePr>
    <w:tblStylePr w:type="band1Horz">
      <w:tblPr/>
      <w:tcPr>
        <w:shd w:val="clear" w:color="auto" w:fill="FCF1E1" w:themeFill="accent2" w:themeFillTint="33"/>
      </w:tcPr>
    </w:tblStylePr>
  </w:style>
  <w:style w:type="table" w:styleId="GridTable3-Accent4">
    <w:name w:val="Grid Table 3 Accent 4"/>
    <w:basedOn w:val="TableNormal"/>
    <w:uiPriority w:val="48"/>
    <w:rsid w:val="00B51291"/>
    <w:pPr>
      <w:spacing w:after="0" w:line="240" w:lineRule="auto"/>
    </w:pPr>
    <w:tblPr>
      <w:tblStyleRowBandSize w:val="1"/>
      <w:tblStyleColBandSize w:val="1"/>
      <w:tblBorders>
        <w:top w:val="single" w:sz="4" w:space="0" w:color="F6D7A6" w:themeColor="accent4" w:themeTint="99"/>
        <w:left w:val="single" w:sz="4" w:space="0" w:color="F6D7A6" w:themeColor="accent4" w:themeTint="99"/>
        <w:bottom w:val="single" w:sz="4" w:space="0" w:color="F6D7A6" w:themeColor="accent4" w:themeTint="99"/>
        <w:right w:val="single" w:sz="4" w:space="0" w:color="F6D7A6" w:themeColor="accent4" w:themeTint="99"/>
        <w:insideH w:val="single" w:sz="4" w:space="0" w:color="F6D7A6" w:themeColor="accent4" w:themeTint="99"/>
        <w:insideV w:val="single" w:sz="4" w:space="0" w:color="F6D7A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E1" w:themeFill="accent4" w:themeFillTint="33"/>
      </w:tcPr>
    </w:tblStylePr>
    <w:tblStylePr w:type="band1Horz">
      <w:tblPr/>
      <w:tcPr>
        <w:shd w:val="clear" w:color="auto" w:fill="FCF1E1" w:themeFill="accent4" w:themeFillTint="33"/>
      </w:tcPr>
    </w:tblStylePr>
    <w:tblStylePr w:type="neCell">
      <w:tblPr/>
      <w:tcPr>
        <w:tcBorders>
          <w:bottom w:val="single" w:sz="4" w:space="0" w:color="F6D7A6" w:themeColor="accent4" w:themeTint="99"/>
        </w:tcBorders>
      </w:tcPr>
    </w:tblStylePr>
    <w:tblStylePr w:type="nwCell">
      <w:tblPr/>
      <w:tcPr>
        <w:tcBorders>
          <w:bottom w:val="single" w:sz="4" w:space="0" w:color="F6D7A6" w:themeColor="accent4" w:themeTint="99"/>
        </w:tcBorders>
      </w:tcPr>
    </w:tblStylePr>
    <w:tblStylePr w:type="seCell">
      <w:tblPr/>
      <w:tcPr>
        <w:tcBorders>
          <w:top w:val="single" w:sz="4" w:space="0" w:color="F6D7A6" w:themeColor="accent4" w:themeTint="99"/>
        </w:tcBorders>
      </w:tcPr>
    </w:tblStylePr>
    <w:tblStylePr w:type="swCell">
      <w:tblPr/>
      <w:tcPr>
        <w:tcBorders>
          <w:top w:val="single" w:sz="4" w:space="0" w:color="F6D7A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gress.gov/crs-product/R480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accessdata.fda.gov/drugsatfda_docs/label/2025/219209s000lbl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itchell\AppData\Roaming\Microsoft\Templates\Newsletter%20(bold)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C5AE0-5431-43FC-95FA-F1801547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(bold)</Template>
  <TotalTime>5977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Mitchell</dc:creator>
  <cp:keywords/>
  <dc:description/>
  <cp:lastModifiedBy>Alena Mitchell</cp:lastModifiedBy>
  <cp:revision>124</cp:revision>
  <cp:lastPrinted>2023-11-07T17:14:00Z</cp:lastPrinted>
  <dcterms:created xsi:type="dcterms:W3CDTF">2025-06-10T18:47:00Z</dcterms:created>
  <dcterms:modified xsi:type="dcterms:W3CDTF">2025-07-22T18:42:00Z</dcterms:modified>
</cp:coreProperties>
</file>